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Book Antiqua" w:cs="Book Antiqua" w:eastAsia="Book Antiqua" w:hAnsi="Book Antiqua"/>
          <w:b/>
          <w:bCs/>
          <w:sz w:val="28"/>
          <w:szCs w:val="28"/>
        </w:rPr>
        <w:t xml:space="preserve">Cost Complaint to the Texas Attorney General</w:t>
      </w:r>
    </w:p>
    <w:p>
      <w:pPr>
        <w:spacing w:after="60"/>
        <w:jc w:val="center"/>
      </w:pPr>
      <w:r>
        <w:rPr>
          <w:rFonts w:ascii="Book Antiqua" w:cs="Book Antiqua" w:eastAsia="Book Antiqua" w:hAnsi="Book Antiqua"/>
          <w:color w:val="1F4E79"/>
          <w:sz w:val="19"/>
          <w:szCs w:val="19"/>
        </w:rPr>
        <w:t xml:space="preserve">Government Code Section 552.269  |  1 Texas Administrative Code Section 70.8</w:t>
      </w:r>
    </w:p>
    <w:p>
      <w:pPr>
        <w:pBdr>
          <w:bottom w:val="single" w:color="44506B" w:sz="6" w:space="6"/>
        </w:pBdr>
        <w:spacing w:after="240"/>
        <w:jc w:val="center"/>
      </w:pPr>
      <w:r>
        <w:rPr>
          <w:rFonts w:ascii="Book Antiqua" w:cs="Book Antiqua" w:eastAsia="Book Antiqua" w:hAnsi="Book Antiqua"/>
          <w:sz w:val="19"/>
          <w:szCs w:val="19"/>
        </w:rPr>
        <w:t xml:space="preserve">A free template from ShortChanged  |  shortchanged tool by Dr. Matthew S. Short</w:t>
      </w:r>
    </w:p>
    <w:p>
      <w:pPr>
        <w:spacing w:after="100" w:before="60"/>
      </w:pPr>
      <w:r>
        <w:rPr>
          <w:rFonts w:ascii="Book Antiqua" w:cs="Book Antiqua" w:eastAsia="Book Antiqua" w:hAnsi="Book Antiqua"/>
          <w:b/>
          <w:bCs/>
          <w:color w:val="1F4E79"/>
          <w:sz w:val="19"/>
          <w:szCs w:val="19"/>
        </w:rPr>
        <w:t xml:space="preserve">BEFORE YOU SEND</w:t>
      </w:r>
    </w:p>
    <w:p>
      <w:pPr>
        <w:spacing w:after="90" w:line="270" w:lineRule="auto"/>
        <w:ind w:left="500" w:hanging="240"/>
        <w:jc w:val="left"/>
      </w:pPr>
      <w:r>
        <w:rPr>
          <w:rFonts w:ascii="Book Antiqua" w:cs="Book Antiqua" w:eastAsia="Book Antiqua" w:hAnsi="Book Antiqua"/>
          <w:color w:val="1F4E79"/>
          <w:sz w:val="19"/>
          <w:szCs w:val="19"/>
        </w:rPr>
        <w:t xml:space="preserve">• </w:t>
      </w:r>
      <w:r>
        <w:rPr>
          <w:rFonts w:ascii="Book Antiqua" w:cs="Book Antiqua" w:eastAsia="Book Antiqua" w:hAnsi="Book Antiqua"/>
          <w:color w:val="1F4E79"/>
          <w:sz w:val="19"/>
          <w:szCs w:val="19"/>
        </w:rPr>
        <w:t xml:space="preserve">File within 10 business days after you learn of the overcharge. A late or incomplete complaint is dismissed under 1 TAC 70.8(b).</w:t>
      </w:r>
    </w:p>
    <w:p>
      <w:pPr>
        <w:spacing w:after="90" w:line="270" w:lineRule="auto"/>
        <w:ind w:left="500" w:hanging="240"/>
        <w:jc w:val="left"/>
      </w:pPr>
      <w:r>
        <w:rPr>
          <w:rFonts w:ascii="Book Antiqua" w:cs="Book Antiqua" w:eastAsia="Book Antiqua" w:hAnsi="Book Antiqua"/>
          <w:color w:val="1F4E79"/>
          <w:sz w:val="19"/>
          <w:szCs w:val="19"/>
        </w:rPr>
        <w:t xml:space="preserve">• </w:t>
      </w:r>
      <w:r>
        <w:rPr>
          <w:rFonts w:ascii="Book Antiqua" w:cs="Book Antiqua" w:eastAsia="Book Antiqua" w:hAnsi="Book Antiqua"/>
          <w:color w:val="1F4E79"/>
          <w:sz w:val="19"/>
          <w:szCs w:val="19"/>
        </w:rPr>
        <w:t xml:space="preserve">You must attach three things: this complaint, a copy of your original request, and a copy of the correspondence stating the charges.</w:t>
      </w:r>
    </w:p>
    <w:p>
      <w:pPr>
        <w:spacing w:after="90" w:line="270" w:lineRule="auto"/>
        <w:ind w:left="500" w:hanging="240"/>
        <w:jc w:val="left"/>
      </w:pPr>
      <w:r>
        <w:rPr>
          <w:rFonts w:ascii="Book Antiqua" w:cs="Book Antiqua" w:eastAsia="Book Antiqua" w:hAnsi="Book Antiqua"/>
          <w:color w:val="1F4E79"/>
          <w:sz w:val="19"/>
          <w:szCs w:val="19"/>
        </w:rPr>
        <w:t xml:space="preserve">• </w:t>
      </w:r>
      <w:r>
        <w:rPr>
          <w:rFonts w:ascii="Book Antiqua" w:cs="Book Antiqua" w:eastAsia="Book Antiqua" w:hAnsi="Book Antiqua"/>
          <w:color w:val="1F4E79"/>
          <w:sz w:val="19"/>
          <w:szCs w:val="19"/>
        </w:rPr>
        <w:t xml:space="preserve">File online at oag.my.site.com/OpenRecords, or mail to Cost Rules Administrator, Open Records Division, Office of the Attorney General, P.O. Box 12548, Austin, TX 78711-2548. Filing is free.</w:t>
      </w:r>
    </w:p>
    <w:p>
      <w:pPr>
        <w:spacing w:after="90" w:line="270" w:lineRule="auto"/>
        <w:ind w:left="500" w:hanging="240"/>
        <w:jc w:val="left"/>
      </w:pPr>
      <w:r>
        <w:rPr>
          <w:rFonts w:ascii="Book Antiqua" w:cs="Book Antiqua" w:eastAsia="Book Antiqua" w:hAnsi="Book Antiqua"/>
          <w:color w:val="1F4E79"/>
          <w:sz w:val="19"/>
          <w:szCs w:val="19"/>
        </w:rPr>
        <w:t xml:space="preserve">• </w:t>
      </w:r>
      <w:r>
        <w:rPr>
          <w:rFonts w:ascii="Book Antiqua" w:cs="Book Antiqua" w:eastAsia="Book Antiqua" w:hAnsi="Book Antiqua"/>
          <w:color w:val="1F4E79"/>
          <w:sz w:val="19"/>
          <w:szCs w:val="19"/>
        </w:rPr>
        <w:t xml:space="preserve">Replace every blue bracketed field, then change the text color back to black. Delete every ground that does not apply to your estimate.</w:t>
      </w:r>
    </w:p>
    <w:p>
      <w:pPr>
        <w:spacing w:after="90" w:line="270" w:lineRule="auto"/>
        <w:ind w:left="500" w:hanging="240"/>
        <w:jc w:val="left"/>
      </w:pPr>
      <w:r>
        <w:rPr>
          <w:rFonts w:ascii="Book Antiqua" w:cs="Book Antiqua" w:eastAsia="Book Antiqua" w:hAnsi="Book Antiqua"/>
          <w:color w:val="1F4E79"/>
          <w:sz w:val="19"/>
          <w:szCs w:val="19"/>
        </w:rPr>
        <w:t xml:space="preserve">• </w:t>
      </w:r>
      <w:r>
        <w:rPr>
          <w:rFonts w:ascii="Book Antiqua" w:cs="Book Antiqua" w:eastAsia="Book Antiqua" w:hAnsi="Book Antiqua"/>
          <w:color w:val="1F4E79"/>
          <w:sz w:val="19"/>
          <w:szCs w:val="19"/>
        </w:rPr>
        <w:t xml:space="preserve">Quote their letter exactly when you describe a defect. Your strongest evidence is their own words.</w:t>
      </w:r>
    </w:p>
    <w:p>
      <w:pPr>
        <w:spacing w:after="90" w:line="270" w:lineRule="auto"/>
        <w:ind w:left="500" w:hanging="240"/>
        <w:jc w:val="left"/>
      </w:pPr>
      <w:r>
        <w:rPr>
          <w:rFonts w:ascii="Book Antiqua" w:cs="Book Antiqua" w:eastAsia="Book Antiqua" w:hAnsi="Book Antiqua"/>
          <w:color w:val="1F4E79"/>
          <w:sz w:val="19"/>
          <w:szCs w:val="19"/>
        </w:rPr>
        <w:t xml:space="preserve">• </w:t>
      </w:r>
      <w:r>
        <w:rPr>
          <w:rFonts w:ascii="Book Antiqua" w:cs="Book Antiqua" w:eastAsia="Book Antiqua" w:hAnsi="Book Antiqua"/>
          <w:color w:val="1F4E79"/>
          <w:sz w:val="19"/>
          <w:szCs w:val="19"/>
        </w:rPr>
        <w:t xml:space="preserve">Send the governmental body a copy, and keep proof of your filing.</w:t>
      </w:r>
    </w:p>
    <w:p>
      <w:pPr>
        <w:pBdr>
          <w:bottom w:val="single" w:color="1F4E79" w:sz="4" w:space="6"/>
        </w:pBdr>
        <w:spacing w:after="220"/>
      </w:pPr>
    </w:p>
    <w:p>
      <w:pPr>
        <w:spacing w:after="170" w:line="282" w:lineRule="auto"/>
        <w:jc w:val="left"/>
      </w:pPr>
      <w:r>
        <w:rPr>
          <w:rFonts w:ascii="Book Antiqua" w:cs="Book Antiqua" w:eastAsia="Book Antiqua" w:hAnsi="Book Antiqua"/>
          <w:b/>
          <w:bCs/>
          <w:color w:val="1F4E79"/>
          <w:sz w:val="23"/>
          <w:szCs w:val="23"/>
        </w:rPr>
        <w:t xml:space="preserve">[Your Name]</w:t>
      </w:r>
      <w:r>
        <w:rPr>
          <w:rFonts w:ascii="Book Antiqua" w:cs="Book Antiqua" w:eastAsia="Book Antiqua" w:hAnsi="Book Antiqua"/>
          <w:sz w:val="23"/>
          <w:szCs w:val="23"/>
        </w:rPr>
        <w:br/>
        <w:t xml:space="preserve"/>
      </w:r>
      <w:r>
        <w:rPr>
          <w:rFonts w:ascii="Book Antiqua" w:cs="Book Antiqua" w:eastAsia="Book Antiqua" w:hAnsi="Book Antiqua"/>
          <w:b/>
          <w:bCs/>
          <w:color w:val="1F4E79"/>
          <w:sz w:val="23"/>
          <w:szCs w:val="23"/>
        </w:rPr>
        <w:t xml:space="preserve">[Street Address]</w:t>
      </w:r>
      <w:r>
        <w:rPr>
          <w:rFonts w:ascii="Book Antiqua" w:cs="Book Antiqua" w:eastAsia="Book Antiqua" w:hAnsi="Book Antiqua"/>
          <w:sz w:val="23"/>
          <w:szCs w:val="23"/>
        </w:rPr>
        <w:br/>
        <w:t xml:space="preserve"/>
      </w:r>
      <w:r>
        <w:rPr>
          <w:rFonts w:ascii="Book Antiqua" w:cs="Book Antiqua" w:eastAsia="Book Antiqua" w:hAnsi="Book Antiqua"/>
          <w:b/>
          <w:bCs/>
          <w:color w:val="1F4E79"/>
          <w:sz w:val="23"/>
          <w:szCs w:val="23"/>
        </w:rPr>
        <w:t xml:space="preserve">[City, State ZIP]</w:t>
      </w:r>
      <w:r>
        <w:rPr>
          <w:rFonts w:ascii="Book Antiqua" w:cs="Book Antiqua" w:eastAsia="Book Antiqua" w:hAnsi="Book Antiqua"/>
          <w:sz w:val="23"/>
          <w:szCs w:val="23"/>
        </w:rPr>
        <w:br/>
        <w:t xml:space="preserve"/>
      </w:r>
      <w:r>
        <w:rPr>
          <w:rFonts w:ascii="Book Antiqua" w:cs="Book Antiqua" w:eastAsia="Book Antiqua" w:hAnsi="Book Antiqua"/>
          <w:b/>
          <w:bCs/>
          <w:color w:val="1F4E79"/>
          <w:sz w:val="23"/>
          <w:szCs w:val="23"/>
        </w:rPr>
        <w:t xml:space="preserve">[Email]</w:t>
      </w:r>
      <w:r>
        <w:rPr>
          <w:rFonts w:ascii="Book Antiqua" w:cs="Book Antiqua" w:eastAsia="Book Antiqua" w:hAnsi="Book Antiqua"/>
          <w:sz w:val="23"/>
          <w:szCs w:val="23"/>
        </w:rPr>
        <w:br/>
        <w:t xml:space="preserve"/>
      </w:r>
      <w:r>
        <w:rPr>
          <w:rFonts w:ascii="Book Antiqua" w:cs="Book Antiqua" w:eastAsia="Book Antiqua" w:hAnsi="Book Antiqua"/>
          <w:b/>
          <w:bCs/>
          <w:color w:val="1F4E79"/>
          <w:sz w:val="23"/>
          <w:szCs w:val="23"/>
        </w:rPr>
        <w:t xml:space="preserve">[Phone]</w:t>
      </w:r>
    </w:p>
    <w:p>
      <w:pPr>
        <w:spacing w:after="170" w:line="282" w:lineRule="auto"/>
        <w:jc w:val="left"/>
      </w:pPr>
      <w:r>
        <w:rPr>
          <w:rFonts w:ascii="Book Antiqua" w:cs="Book Antiqua" w:eastAsia="Book Antiqua" w:hAnsi="Book Antiqua"/>
          <w:b/>
          <w:bCs/>
          <w:color w:val="1F4E79"/>
          <w:sz w:val="23"/>
          <w:szCs w:val="23"/>
        </w:rPr>
        <w:t xml:space="preserve">[Date]</w:t>
      </w:r>
    </w:p>
    <w:p>
      <w:pPr>
        <w:spacing w:after="170" w:line="282" w:lineRule="auto"/>
        <w:jc w:val="left"/>
      </w:pPr>
      <w:r>
        <w:rPr>
          <w:rFonts w:ascii="Book Antiqua" w:cs="Book Antiqua" w:eastAsia="Book Antiqua" w:hAnsi="Book Antiqua"/>
          <w:sz w:val="23"/>
          <w:szCs w:val="23"/>
        </w:rPr>
        <w:t xml:space="preserve">Cost Rules Administrator</w:t>
      </w:r>
      <w:r>
        <w:rPr>
          <w:rFonts w:ascii="Book Antiqua" w:cs="Book Antiqua" w:eastAsia="Book Antiqua" w:hAnsi="Book Antiqua"/>
          <w:sz w:val="23"/>
          <w:szCs w:val="23"/>
        </w:rPr>
        <w:br/>
        <w:t xml:space="preserve"/>
      </w:r>
      <w:r>
        <w:rPr>
          <w:rFonts w:ascii="Book Antiqua" w:cs="Book Antiqua" w:eastAsia="Book Antiqua" w:hAnsi="Book Antiqua"/>
          <w:sz w:val="23"/>
          <w:szCs w:val="23"/>
        </w:rPr>
        <w:t xml:space="preserve">Open Records Division</w:t>
      </w:r>
      <w:r>
        <w:rPr>
          <w:rFonts w:ascii="Book Antiqua" w:cs="Book Antiqua" w:eastAsia="Book Antiqua" w:hAnsi="Book Antiqua"/>
          <w:sz w:val="23"/>
          <w:szCs w:val="23"/>
        </w:rPr>
        <w:br/>
        <w:t xml:space="preserve"/>
      </w:r>
      <w:r>
        <w:rPr>
          <w:rFonts w:ascii="Book Antiqua" w:cs="Book Antiqua" w:eastAsia="Book Antiqua" w:hAnsi="Book Antiqua"/>
          <w:sz w:val="23"/>
          <w:szCs w:val="23"/>
        </w:rPr>
        <w:t xml:space="preserve">Office of the Attorney General</w:t>
      </w:r>
      <w:r>
        <w:rPr>
          <w:rFonts w:ascii="Book Antiqua" w:cs="Book Antiqua" w:eastAsia="Book Antiqua" w:hAnsi="Book Antiqua"/>
          <w:sz w:val="23"/>
          <w:szCs w:val="23"/>
        </w:rPr>
        <w:br/>
        <w:t xml:space="preserve"/>
      </w:r>
      <w:r>
        <w:rPr>
          <w:rFonts w:ascii="Book Antiqua" w:cs="Book Antiqua" w:eastAsia="Book Antiqua" w:hAnsi="Book Antiqua"/>
          <w:sz w:val="23"/>
          <w:szCs w:val="23"/>
        </w:rPr>
        <w:t xml:space="preserve">P.O. Box 12548</w:t>
      </w:r>
      <w:r>
        <w:rPr>
          <w:rFonts w:ascii="Book Antiqua" w:cs="Book Antiqua" w:eastAsia="Book Antiqua" w:hAnsi="Book Antiqua"/>
          <w:sz w:val="23"/>
          <w:szCs w:val="23"/>
        </w:rPr>
        <w:br/>
        <w:t xml:space="preserve"/>
      </w:r>
      <w:r>
        <w:rPr>
          <w:rFonts w:ascii="Book Antiqua" w:cs="Book Antiqua" w:eastAsia="Book Antiqua" w:hAnsi="Book Antiqua"/>
          <w:sz w:val="23"/>
          <w:szCs w:val="23"/>
        </w:rPr>
        <w:t xml:space="preserve">Austin, Texas 78711-2548</w:t>
      </w:r>
    </w:p>
    <w:p>
      <w:pPr>
        <w:spacing w:after="170" w:line="282" w:lineRule="auto"/>
        <w:jc w:val="left"/>
      </w:pPr>
      <w:r>
        <w:rPr>
          <w:rFonts w:ascii="Book Antiqua" w:cs="Book Antiqua" w:eastAsia="Book Antiqua" w:hAnsi="Book Antiqua"/>
          <w:b/>
          <w:bCs/>
          <w:sz w:val="23"/>
          <w:szCs w:val="23"/>
        </w:rPr>
        <w:t xml:space="preserve">Re:  </w:t>
      </w:r>
      <w:r>
        <w:rPr>
          <w:rFonts w:ascii="Book Antiqua" w:cs="Book Antiqua" w:eastAsia="Book Antiqua" w:hAnsi="Book Antiqua"/>
          <w:b/>
          <w:bCs/>
          <w:sz w:val="23"/>
          <w:szCs w:val="23"/>
        </w:rPr>
        <w:t xml:space="preserve">Cost Complaint under Texas Government Code Section 552.269 and 1 TAC Section 70.8</w:t>
      </w:r>
      <w:r>
        <w:rPr>
          <w:rFonts w:ascii="Book Antiqua" w:cs="Book Antiqua" w:eastAsia="Book Antiqua" w:hAnsi="Book Antiqua"/>
          <w:sz w:val="23"/>
          <w:szCs w:val="23"/>
        </w:rPr>
        <w:br/>
        <w:t xml:space="preserve"/>
      </w:r>
      <w:r>
        <w:rPr>
          <w:rFonts w:ascii="Book Antiqua" w:cs="Book Antiqua" w:eastAsia="Book Antiqua" w:hAnsi="Book Antiqua"/>
          <w:b/>
          <w:bCs/>
          <w:sz w:val="23"/>
          <w:szCs w:val="23"/>
        </w:rPr>
        <w:t xml:space="preserve">Governmental body: </w:t>
      </w:r>
      <w:r>
        <w:rPr>
          <w:rFonts w:ascii="Book Antiqua" w:cs="Book Antiqua" w:eastAsia="Book Antiqua" w:hAnsi="Book Antiqua"/>
          <w:b/>
          <w:bCs/>
          <w:color w:val="1F4E79"/>
          <w:sz w:val="23"/>
          <w:szCs w:val="23"/>
        </w:rPr>
        <w:t xml:space="preserve">[name and county]</w:t>
      </w:r>
      <w:r>
        <w:rPr>
          <w:rFonts w:ascii="Book Antiqua" w:cs="Book Antiqua" w:eastAsia="Book Antiqua" w:hAnsi="Book Antiqua"/>
          <w:sz w:val="23"/>
          <w:szCs w:val="23"/>
        </w:rPr>
        <w:br/>
        <w:t xml:space="preserve"/>
      </w:r>
      <w:r>
        <w:rPr>
          <w:rFonts w:ascii="Book Antiqua" w:cs="Book Antiqua" w:eastAsia="Book Antiqua" w:hAnsi="Book Antiqua"/>
          <w:b/>
          <w:bCs/>
          <w:sz w:val="23"/>
          <w:szCs w:val="23"/>
        </w:rPr>
        <w:t xml:space="preserve">Request at issue: </w:t>
      </w:r>
      <w:r>
        <w:rPr>
          <w:rFonts w:ascii="Book Antiqua" w:cs="Book Antiqua" w:eastAsia="Book Antiqua" w:hAnsi="Book Antiqua"/>
          <w:b/>
          <w:bCs/>
          <w:color w:val="1F4E79"/>
          <w:sz w:val="23"/>
          <w:szCs w:val="23"/>
        </w:rPr>
        <w:t xml:space="preserve">[date of your request]</w:t>
      </w:r>
      <w:r>
        <w:rPr>
          <w:rFonts w:ascii="Book Antiqua" w:cs="Book Antiqua" w:eastAsia="Book Antiqua" w:hAnsi="Book Antiqua"/>
          <w:sz w:val="23"/>
          <w:szCs w:val="23"/>
        </w:rPr>
        <w:br/>
        <w:t xml:space="preserve"/>
      </w:r>
      <w:r>
        <w:rPr>
          <w:rFonts w:ascii="Book Antiqua" w:cs="Book Antiqua" w:eastAsia="Book Antiqua" w:hAnsi="Book Antiqua"/>
          <w:b/>
          <w:bCs/>
          <w:sz w:val="23"/>
          <w:szCs w:val="23"/>
        </w:rPr>
        <w:t xml:space="preserve">Estimate at issue: </w:t>
      </w:r>
      <w:r>
        <w:rPr>
          <w:rFonts w:ascii="Book Antiqua" w:cs="Book Antiqua" w:eastAsia="Book Antiqua" w:hAnsi="Book Antiqua"/>
          <w:b/>
          <w:bCs/>
          <w:color w:val="1F4E79"/>
          <w:sz w:val="23"/>
          <w:szCs w:val="23"/>
        </w:rPr>
        <w:t xml:space="preserve">[date of their letter; total amount; deposit demanded, if any]</w:t>
      </w:r>
    </w:p>
    <w:p>
      <w:pPr>
        <w:spacing w:after="170" w:line="282" w:lineRule="auto"/>
        <w:jc w:val="left"/>
      </w:pPr>
      <w:r>
        <w:rPr>
          <w:rFonts w:ascii="Book Antiqua" w:cs="Book Antiqua" w:eastAsia="Book Antiqua" w:hAnsi="Book Antiqua"/>
          <w:sz w:val="23"/>
          <w:szCs w:val="23"/>
        </w:rPr>
        <w:t xml:space="preserve">Dear Cost Rules Administrator:</w:t>
      </w:r>
    </w:p>
    <w:p>
      <w:pPr>
        <w:spacing w:after="130" w:before="200" w:line="282" w:lineRule="auto"/>
      </w:pPr>
      <w:r>
        <w:rPr>
          <w:rFonts w:ascii="Book Antiqua" w:cs="Book Antiqua" w:eastAsia="Book Antiqua" w:hAnsi="Book Antiqua"/>
          <w:b/>
          <w:bCs/>
          <w:sz w:val="23"/>
          <w:szCs w:val="23"/>
        </w:rPr>
        <w:t xml:space="preserve">I. Timeliness and required contents</w:t>
      </w:r>
    </w:p>
    <w:p>
      <w:pPr>
        <w:spacing w:after="170" w:line="282" w:lineRule="auto"/>
        <w:jc w:val="both"/>
      </w:pPr>
      <w:r>
        <w:rPr>
          <w:rFonts w:ascii="Book Antiqua" w:cs="Book Antiqua" w:eastAsia="Book Antiqua" w:hAnsi="Book Antiqua"/>
          <w:sz w:val="23"/>
          <w:szCs w:val="23"/>
        </w:rPr>
        <w:t xml:space="preserve">Pursuant to Texas Government Code Section 552.269(a) and 1 TAC Section 70.8, I complain that </w:t>
      </w:r>
      <w:r>
        <w:rPr>
          <w:rFonts w:ascii="Book Antiqua" w:cs="Book Antiqua" w:eastAsia="Book Antiqua" w:hAnsi="Book Antiqua"/>
          <w:b/>
          <w:bCs/>
          <w:color w:val="1F4E79"/>
          <w:sz w:val="23"/>
          <w:szCs w:val="23"/>
        </w:rPr>
        <w:t xml:space="preserve">[governmental body]</w:t>
      </w:r>
      <w:r>
        <w:rPr>
          <w:rFonts w:ascii="Book Antiqua" w:cs="Book Antiqua" w:eastAsia="Book Antiqua" w:hAnsi="Book Antiqua"/>
          <w:sz w:val="23"/>
          <w:szCs w:val="23"/>
        </w:rPr>
        <w:t xml:space="preserve"> has proposed excessive charges for a Public Information Act request I submitted on </w:t>
      </w:r>
      <w:r>
        <w:rPr>
          <w:rFonts w:ascii="Book Antiqua" w:cs="Book Antiqua" w:eastAsia="Book Antiqua" w:hAnsi="Book Antiqua"/>
          <w:b/>
          <w:bCs/>
          <w:color w:val="1F4E79"/>
          <w:sz w:val="23"/>
          <w:szCs w:val="23"/>
        </w:rPr>
        <w:t xml:space="preserve">[date]</w:t>
      </w:r>
      <w:r>
        <w:rPr>
          <w:rFonts w:ascii="Book Antiqua" w:cs="Book Antiqua" w:eastAsia="Book Antiqua" w:hAnsi="Book Antiqua"/>
          <w:sz w:val="23"/>
          <w:szCs w:val="23"/>
        </w:rPr>
        <w:t xml:space="preserve">. I first learned of the proposed charges on </w:t>
      </w:r>
      <w:r>
        <w:rPr>
          <w:rFonts w:ascii="Book Antiqua" w:cs="Book Antiqua" w:eastAsia="Book Antiqua" w:hAnsi="Book Antiqua"/>
          <w:b/>
          <w:bCs/>
          <w:color w:val="1F4E79"/>
          <w:sz w:val="23"/>
          <w:szCs w:val="23"/>
        </w:rPr>
        <w:t xml:space="preserve">[date you received the estimate]</w:t>
      </w:r>
      <w:r>
        <w:rPr>
          <w:rFonts w:ascii="Book Antiqua" w:cs="Book Antiqua" w:eastAsia="Book Antiqua" w:hAnsi="Book Antiqua"/>
          <w:sz w:val="23"/>
          <w:szCs w:val="23"/>
        </w:rPr>
        <w:t xml:space="preserve">. This complaint is submitted within ten business days after I learned of the alleged overcharge, as Section 70.8(b)(3) requires, and includes the reasons the charges are excessive (Part IV), a copy of the original request (Exhibit A), and a copy of the correspondence stating the proposed charges (Exhibit B).</w:t>
      </w:r>
    </w:p>
    <w:p>
      <w:pPr>
        <w:spacing w:after="130" w:before="200" w:line="282" w:lineRule="auto"/>
      </w:pPr>
      <w:r>
        <w:rPr>
          <w:rFonts w:ascii="Book Antiqua" w:cs="Book Antiqua" w:eastAsia="Book Antiqua" w:hAnsi="Book Antiqua"/>
          <w:b/>
          <w:bCs/>
          <w:sz w:val="23"/>
          <w:szCs w:val="23"/>
        </w:rPr>
        <w:t xml:space="preserve">II. The request</w:t>
      </w:r>
    </w:p>
    <w:p>
      <w:pPr>
        <w:spacing w:after="170" w:line="282" w:lineRule="auto"/>
        <w:jc w:val="both"/>
      </w:pPr>
      <w:r>
        <w:rPr>
          <w:rFonts w:ascii="Book Antiqua" w:cs="Book Antiqua" w:eastAsia="Book Antiqua" w:hAnsi="Book Antiqua"/>
          <w:b/>
          <w:bCs/>
          <w:color w:val="1F4E79"/>
          <w:sz w:val="23"/>
          <w:szCs w:val="23"/>
        </w:rPr>
        <w:t xml:space="preserve">[Describe your request in two or three sentences: what records you asked for, what format you asked for, and any limits you built in, such as excluding confidential fields or asking for electronic production. Be specific. If the estimate charges for work you never requested, say plainly here what the request does and does not seek.]</w:t>
      </w:r>
    </w:p>
    <w:p>
      <w:pPr>
        <w:spacing w:after="130" w:before="200" w:line="282" w:lineRule="auto"/>
      </w:pPr>
      <w:r>
        <w:rPr>
          <w:rFonts w:ascii="Book Antiqua" w:cs="Book Antiqua" w:eastAsia="Book Antiqua" w:hAnsi="Book Antiqua"/>
          <w:b/>
          <w:bCs/>
          <w:sz w:val="23"/>
          <w:szCs w:val="23"/>
        </w:rPr>
        <w:t xml:space="preserve">III. The estimate</w:t>
      </w:r>
    </w:p>
    <w:p>
      <w:pPr>
        <w:spacing w:after="170" w:line="282" w:lineRule="auto"/>
        <w:jc w:val="both"/>
      </w:pPr>
      <w:r>
        <w:rPr>
          <w:rFonts w:ascii="Book Antiqua" w:cs="Book Antiqua" w:eastAsia="Book Antiqua" w:hAnsi="Book Antiqua"/>
          <w:sz w:val="23"/>
          <w:szCs w:val="23"/>
        </w:rPr>
        <w:t xml:space="preserve">By letter dated </w:t>
      </w:r>
      <w:r>
        <w:rPr>
          <w:rFonts w:ascii="Book Antiqua" w:cs="Book Antiqua" w:eastAsia="Book Antiqua" w:hAnsi="Book Antiqua"/>
          <w:b/>
          <w:bCs/>
          <w:color w:val="1F4E79"/>
          <w:sz w:val="23"/>
          <w:szCs w:val="23"/>
        </w:rPr>
        <w:t xml:space="preserve">[date]</w:t>
      </w:r>
      <w:r>
        <w:rPr>
          <w:rFonts w:ascii="Book Antiqua" w:cs="Book Antiqua" w:eastAsia="Book Antiqua" w:hAnsi="Book Antiqua"/>
          <w:sz w:val="23"/>
          <w:szCs w:val="23"/>
        </w:rPr>
        <w:t xml:space="preserve">, the governmental body issued the following itemized statement under Section 552.2615:</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00"/>
        <w:gridCol w:w="3560"/>
        <w:gridCol w:w="2700"/>
      </w:tblGrid>
      <w:tr>
        <w:tc>
          <w:tcPr>
            <w:tcW w:type="dxa" w:w="3100"/>
            <w:tcBorders>
              <w:top w:val="single" w:color="44506B" w:sz="4"/>
              <w:left w:val="single" w:color="44506B" w:sz="4"/>
              <w:bottom w:val="single" w:color="44506B" w:sz="4"/>
              <w:right w:val="single" w:color="44506B" w:sz="4"/>
            </w:tcBorders>
            <w:tcMar>
              <w:top w:type="dxa" w:w="80"/>
              <w:left w:type="dxa" w:w="120"/>
              <w:bottom w:type="dxa" w:w="80"/>
              <w:right w:type="dxa" w:w="120"/>
            </w:tcMar>
          </w:tcPr>
          <w:p>
            <w:pPr>
              <w:spacing w:after="0" w:line="258" w:lineRule="auto"/>
              <w:jc w:val="left"/>
            </w:pPr>
            <w:r>
              <w:rPr>
                <w:rFonts w:ascii="Book Antiqua" w:cs="Book Antiqua" w:eastAsia="Book Antiqua" w:hAnsi="Book Antiqua"/>
                <w:b/>
                <w:bCs/>
                <w:sz w:val="23"/>
                <w:szCs w:val="23"/>
              </w:rPr>
              <w:t xml:space="preserve">Description</w:t>
            </w:r>
          </w:p>
        </w:tc>
        <w:tc>
          <w:tcPr>
            <w:tcW w:type="dxa" w:w="3560"/>
            <w:tcBorders>
              <w:top w:val="single" w:color="44506B" w:sz="4"/>
              <w:left w:val="single" w:color="44506B" w:sz="4"/>
              <w:bottom w:val="single" w:color="44506B" w:sz="4"/>
              <w:right w:val="single" w:color="44506B" w:sz="4"/>
            </w:tcBorders>
            <w:tcMar>
              <w:top w:type="dxa" w:w="80"/>
              <w:left w:type="dxa" w:w="120"/>
              <w:bottom w:type="dxa" w:w="80"/>
              <w:right w:type="dxa" w:w="120"/>
            </w:tcMar>
          </w:tcPr>
          <w:p>
            <w:pPr>
              <w:spacing w:after="0" w:line="258" w:lineRule="auto"/>
              <w:jc w:val="left"/>
            </w:pPr>
            <w:r>
              <w:rPr>
                <w:rFonts w:ascii="Book Antiqua" w:cs="Book Antiqua" w:eastAsia="Book Antiqua" w:hAnsi="Book Antiqua"/>
                <w:b/>
                <w:bCs/>
                <w:sz w:val="23"/>
                <w:szCs w:val="23"/>
              </w:rPr>
              <w:t xml:space="preserve">Qty x Price</w:t>
            </w:r>
          </w:p>
        </w:tc>
        <w:tc>
          <w:tcPr>
            <w:tcW w:type="dxa" w:w="2700"/>
            <w:tcBorders>
              <w:top w:val="single" w:color="44506B" w:sz="4"/>
              <w:left w:val="single" w:color="44506B" w:sz="4"/>
              <w:bottom w:val="single" w:color="44506B" w:sz="4"/>
              <w:right w:val="single" w:color="44506B" w:sz="4"/>
            </w:tcBorders>
            <w:tcMar>
              <w:top w:type="dxa" w:w="80"/>
              <w:left w:type="dxa" w:w="120"/>
              <w:bottom w:type="dxa" w:w="80"/>
              <w:right w:type="dxa" w:w="120"/>
            </w:tcMar>
          </w:tcPr>
          <w:p>
            <w:pPr>
              <w:spacing w:after="0" w:line="258" w:lineRule="auto"/>
              <w:jc w:val="right"/>
            </w:pPr>
            <w:r>
              <w:rPr>
                <w:rFonts w:ascii="Book Antiqua" w:cs="Book Antiqua" w:eastAsia="Book Antiqua" w:hAnsi="Book Antiqua"/>
                <w:b/>
                <w:bCs/>
                <w:sz w:val="23"/>
                <w:szCs w:val="23"/>
              </w:rPr>
              <w:t xml:space="preserve">Total</w:t>
            </w:r>
          </w:p>
        </w:tc>
      </w:tr>
      <w:tr>
        <w:tc>
          <w:tcPr>
            <w:tcW w:type="dxa" w:w="3100"/>
            <w:tcBorders>
              <w:top w:val="single" w:color="44506B" w:sz="4"/>
              <w:left w:val="single" w:color="44506B" w:sz="4"/>
              <w:bottom w:val="single" w:color="44506B" w:sz="4"/>
              <w:right w:val="single" w:color="44506B" w:sz="4"/>
            </w:tcBorders>
            <w:tcMar>
              <w:top w:type="dxa" w:w="80"/>
              <w:left w:type="dxa" w:w="120"/>
              <w:bottom w:type="dxa" w:w="80"/>
              <w:right w:type="dxa" w:w="120"/>
            </w:tcMar>
          </w:tcPr>
          <w:p>
            <w:pPr>
              <w:spacing w:after="0" w:line="258" w:lineRule="auto"/>
              <w:jc w:val="left"/>
            </w:pPr>
            <w:r>
              <w:rPr>
                <w:rFonts w:ascii="Book Antiqua" w:cs="Book Antiqua" w:eastAsia="Book Antiqua" w:hAnsi="Book Antiqua"/>
                <w:b/>
                <w:bCs/>
                <w:color w:val="1F4E79"/>
                <w:sz w:val="23"/>
                <w:szCs w:val="23"/>
              </w:rPr>
              <w:t xml:space="preserve">[line item]</w:t>
            </w:r>
          </w:p>
        </w:tc>
        <w:tc>
          <w:tcPr>
            <w:tcW w:type="dxa" w:w="3560"/>
            <w:tcBorders>
              <w:top w:val="single" w:color="44506B" w:sz="4"/>
              <w:left w:val="single" w:color="44506B" w:sz="4"/>
              <w:bottom w:val="single" w:color="44506B" w:sz="4"/>
              <w:right w:val="single" w:color="44506B" w:sz="4"/>
            </w:tcBorders>
            <w:tcMar>
              <w:top w:type="dxa" w:w="80"/>
              <w:left w:type="dxa" w:w="120"/>
              <w:bottom w:type="dxa" w:w="80"/>
              <w:right w:type="dxa" w:w="120"/>
            </w:tcMar>
          </w:tcPr>
          <w:p>
            <w:pPr>
              <w:spacing w:after="0" w:line="258" w:lineRule="auto"/>
              <w:jc w:val="left"/>
            </w:pPr>
            <w:r>
              <w:rPr>
                <w:rFonts w:ascii="Book Antiqua" w:cs="Book Antiqua" w:eastAsia="Book Antiqua" w:hAnsi="Book Antiqua"/>
                <w:b/>
                <w:bCs/>
                <w:color w:val="1F4E79"/>
                <w:sz w:val="23"/>
                <w:szCs w:val="23"/>
              </w:rPr>
              <w:t xml:space="preserve">[quantity x rate]</w:t>
            </w:r>
          </w:p>
        </w:tc>
        <w:tc>
          <w:tcPr>
            <w:tcW w:type="dxa" w:w="2700"/>
            <w:tcBorders>
              <w:top w:val="single" w:color="44506B" w:sz="4"/>
              <w:left w:val="single" w:color="44506B" w:sz="4"/>
              <w:bottom w:val="single" w:color="44506B" w:sz="4"/>
              <w:right w:val="single" w:color="44506B" w:sz="4"/>
            </w:tcBorders>
            <w:tcMar>
              <w:top w:type="dxa" w:w="80"/>
              <w:left w:type="dxa" w:w="120"/>
              <w:bottom w:type="dxa" w:w="80"/>
              <w:right w:type="dxa" w:w="120"/>
            </w:tcMar>
          </w:tcPr>
          <w:p>
            <w:pPr>
              <w:spacing w:after="0" w:line="258" w:lineRule="auto"/>
              <w:jc w:val="right"/>
            </w:pPr>
            <w:r>
              <w:rPr>
                <w:rFonts w:ascii="Book Antiqua" w:cs="Book Antiqua" w:eastAsia="Book Antiqua" w:hAnsi="Book Antiqua"/>
                <w:b/>
                <w:bCs/>
                <w:color w:val="1F4E79"/>
                <w:sz w:val="23"/>
                <w:szCs w:val="23"/>
              </w:rPr>
              <w:t xml:space="preserve">[$]</w:t>
            </w:r>
          </w:p>
        </w:tc>
      </w:tr>
      <w:tr>
        <w:tc>
          <w:tcPr>
            <w:tcW w:type="dxa" w:w="3100"/>
            <w:tcBorders>
              <w:top w:val="single" w:color="44506B" w:sz="4"/>
              <w:left w:val="single" w:color="44506B" w:sz="4"/>
              <w:bottom w:val="single" w:color="44506B" w:sz="4"/>
              <w:right w:val="single" w:color="44506B" w:sz="4"/>
            </w:tcBorders>
            <w:tcMar>
              <w:top w:type="dxa" w:w="80"/>
              <w:left w:type="dxa" w:w="120"/>
              <w:bottom w:type="dxa" w:w="80"/>
              <w:right w:type="dxa" w:w="120"/>
            </w:tcMar>
          </w:tcPr>
          <w:p>
            <w:pPr>
              <w:spacing w:after="0" w:line="258" w:lineRule="auto"/>
              <w:jc w:val="left"/>
            </w:pPr>
            <w:r>
              <w:rPr>
                <w:rFonts w:ascii="Book Antiqua" w:cs="Book Antiqua" w:eastAsia="Book Antiqua" w:hAnsi="Book Antiqua"/>
                <w:b/>
                <w:bCs/>
                <w:color w:val="1F4E79"/>
                <w:sz w:val="23"/>
                <w:szCs w:val="23"/>
              </w:rPr>
              <w:t xml:space="preserve">[line item]</w:t>
            </w:r>
          </w:p>
        </w:tc>
        <w:tc>
          <w:tcPr>
            <w:tcW w:type="dxa" w:w="3560"/>
            <w:tcBorders>
              <w:top w:val="single" w:color="44506B" w:sz="4"/>
              <w:left w:val="single" w:color="44506B" w:sz="4"/>
              <w:bottom w:val="single" w:color="44506B" w:sz="4"/>
              <w:right w:val="single" w:color="44506B" w:sz="4"/>
            </w:tcBorders>
            <w:tcMar>
              <w:top w:type="dxa" w:w="80"/>
              <w:left w:type="dxa" w:w="120"/>
              <w:bottom w:type="dxa" w:w="80"/>
              <w:right w:type="dxa" w:w="120"/>
            </w:tcMar>
          </w:tcPr>
          <w:p>
            <w:pPr>
              <w:spacing w:after="0" w:line="258" w:lineRule="auto"/>
              <w:jc w:val="left"/>
            </w:pPr>
            <w:r>
              <w:rPr>
                <w:rFonts w:ascii="Book Antiqua" w:cs="Book Antiqua" w:eastAsia="Book Antiqua" w:hAnsi="Book Antiqua"/>
                <w:b/>
                <w:bCs/>
                <w:color w:val="1F4E79"/>
                <w:sz w:val="23"/>
                <w:szCs w:val="23"/>
              </w:rPr>
              <w:t xml:space="preserve">[quantity x rate]</w:t>
            </w:r>
          </w:p>
        </w:tc>
        <w:tc>
          <w:tcPr>
            <w:tcW w:type="dxa" w:w="2700"/>
            <w:tcBorders>
              <w:top w:val="single" w:color="44506B" w:sz="4"/>
              <w:left w:val="single" w:color="44506B" w:sz="4"/>
              <w:bottom w:val="single" w:color="44506B" w:sz="4"/>
              <w:right w:val="single" w:color="44506B" w:sz="4"/>
            </w:tcBorders>
            <w:tcMar>
              <w:top w:type="dxa" w:w="80"/>
              <w:left w:type="dxa" w:w="120"/>
              <w:bottom w:type="dxa" w:w="80"/>
              <w:right w:type="dxa" w:w="120"/>
            </w:tcMar>
          </w:tcPr>
          <w:p>
            <w:pPr>
              <w:spacing w:after="0" w:line="258" w:lineRule="auto"/>
              <w:jc w:val="right"/>
            </w:pPr>
            <w:r>
              <w:rPr>
                <w:rFonts w:ascii="Book Antiqua" w:cs="Book Antiqua" w:eastAsia="Book Antiqua" w:hAnsi="Book Antiqua"/>
                <w:b/>
                <w:bCs/>
                <w:color w:val="1F4E79"/>
                <w:sz w:val="23"/>
                <w:szCs w:val="23"/>
              </w:rPr>
              <w:t xml:space="preserve">[$]</w:t>
            </w:r>
          </w:p>
        </w:tc>
      </w:tr>
      <w:tr>
        <w:tc>
          <w:tcPr>
            <w:tcW w:type="dxa" w:w="3100"/>
            <w:tcBorders>
              <w:top w:val="single" w:color="44506B" w:sz="4"/>
              <w:left w:val="single" w:color="44506B" w:sz="4"/>
              <w:bottom w:val="single" w:color="44506B" w:sz="4"/>
              <w:right w:val="single" w:color="44506B" w:sz="4"/>
            </w:tcBorders>
            <w:tcMar>
              <w:top w:type="dxa" w:w="80"/>
              <w:left w:type="dxa" w:w="120"/>
              <w:bottom w:type="dxa" w:w="80"/>
              <w:right w:type="dxa" w:w="120"/>
            </w:tcMar>
          </w:tcPr>
          <w:p>
            <w:pPr>
              <w:spacing w:after="0" w:line="258" w:lineRule="auto"/>
              <w:jc w:val="left"/>
            </w:pPr>
            <w:r>
              <w:rPr>
                <w:rFonts w:ascii="Book Antiqua" w:cs="Book Antiqua" w:eastAsia="Book Antiqua" w:hAnsi="Book Antiqua"/>
                <w:b/>
                <w:bCs/>
                <w:sz w:val="23"/>
                <w:szCs w:val="23"/>
              </w:rPr>
              <w:t xml:space="preserve">Total Estimate</w:t>
            </w:r>
          </w:p>
        </w:tc>
        <w:tc>
          <w:tcPr>
            <w:tcW w:type="dxa" w:w="3560"/>
            <w:tcBorders>
              <w:top w:val="single" w:color="44506B" w:sz="4"/>
              <w:left w:val="single" w:color="44506B" w:sz="4"/>
              <w:bottom w:val="single" w:color="44506B" w:sz="4"/>
              <w:right w:val="single" w:color="44506B" w:sz="4"/>
            </w:tcBorders>
            <w:tcMar>
              <w:top w:type="dxa" w:w="80"/>
              <w:left w:type="dxa" w:w="120"/>
              <w:bottom w:type="dxa" w:w="80"/>
              <w:right w:type="dxa" w:w="120"/>
            </w:tcMar>
          </w:tcPr>
          <w:p>
            <w:pPr>
              <w:spacing w:after="0" w:line="258" w:lineRule="auto"/>
              <w:jc w:val="left"/>
            </w:pPr>
            <w:r>
              <w:rPr>
                <w:rFonts w:ascii="Book Antiqua" w:cs="Book Antiqua" w:eastAsia="Book Antiqua" w:hAnsi="Book Antiqua"/>
                <w:b w:val="false"/>
                <w:bCs w:val="false"/>
                <w:sz w:val="23"/>
                <w:szCs w:val="23"/>
              </w:rPr>
              <w:t xml:space="preserve"/>
            </w:r>
          </w:p>
        </w:tc>
        <w:tc>
          <w:tcPr>
            <w:tcW w:type="dxa" w:w="2700"/>
            <w:tcBorders>
              <w:top w:val="single" w:color="44506B" w:sz="4"/>
              <w:left w:val="single" w:color="44506B" w:sz="4"/>
              <w:bottom w:val="single" w:color="44506B" w:sz="4"/>
              <w:right w:val="single" w:color="44506B" w:sz="4"/>
            </w:tcBorders>
            <w:tcMar>
              <w:top w:type="dxa" w:w="80"/>
              <w:left w:type="dxa" w:w="120"/>
              <w:bottom w:type="dxa" w:w="80"/>
              <w:right w:type="dxa" w:w="120"/>
            </w:tcMar>
          </w:tcPr>
          <w:p>
            <w:pPr>
              <w:spacing w:after="0" w:line="258" w:lineRule="auto"/>
              <w:jc w:val="right"/>
            </w:pPr>
            <w:r>
              <w:rPr>
                <w:rFonts w:ascii="Book Antiqua" w:cs="Book Antiqua" w:eastAsia="Book Antiqua" w:hAnsi="Book Antiqua"/>
                <w:b/>
                <w:bCs/>
                <w:color w:val="1F4E79"/>
                <w:sz w:val="23"/>
                <w:szCs w:val="23"/>
              </w:rPr>
              <w:t xml:space="preserve">[$]</w:t>
            </w:r>
          </w:p>
        </w:tc>
      </w:tr>
    </w:tbl>
    <w:p>
      <w:pPr>
        <w:spacing w:after="160"/>
      </w:pPr>
    </w:p>
    <w:p>
      <w:pPr>
        <w:spacing w:after="170" w:line="282" w:lineRule="auto"/>
        <w:jc w:val="both"/>
      </w:pPr>
      <w:r>
        <w:rPr>
          <w:rFonts w:ascii="Book Antiqua" w:cs="Book Antiqua" w:eastAsia="Book Antiqua" w:hAnsi="Book Antiqua"/>
          <w:sz w:val="23"/>
          <w:szCs w:val="23"/>
        </w:rPr>
        <w:t xml:space="preserve">The letter describes the basis for the charges as </w:t>
      </w:r>
      <w:r>
        <w:rPr>
          <w:rFonts w:ascii="Book Antiqua" w:cs="Book Antiqua" w:eastAsia="Book Antiqua" w:hAnsi="Book Antiqua"/>
          <w:b/>
          <w:bCs/>
          <w:color w:val="1F4E79"/>
          <w:sz w:val="23"/>
          <w:szCs w:val="23"/>
        </w:rPr>
        <w:t xml:space="preserve">[quote their explanation exactly]</w:t>
      </w:r>
      <w:r>
        <w:rPr>
          <w:rFonts w:ascii="Book Antiqua" w:cs="Book Antiqua" w:eastAsia="Book Antiqua" w:hAnsi="Book Antiqua"/>
          <w:sz w:val="23"/>
          <w:szCs w:val="23"/>
        </w:rPr>
        <w:t xml:space="preserve">. It also </w:t>
      </w:r>
      <w:r>
        <w:rPr>
          <w:rFonts w:ascii="Book Antiqua" w:cs="Book Antiqua" w:eastAsia="Book Antiqua" w:hAnsi="Book Antiqua"/>
          <w:b/>
          <w:bCs/>
          <w:color w:val="1F4E79"/>
          <w:sz w:val="23"/>
          <w:szCs w:val="23"/>
        </w:rPr>
        <w:t xml:space="preserve">[note any deposit demand, withdrawal warning, or inspection condition]</w:t>
      </w:r>
      <w:r>
        <w:rPr>
          <w:rFonts w:ascii="Book Antiqua" w:cs="Book Antiqua" w:eastAsia="Book Antiqua" w:hAnsi="Book Antiqua"/>
          <w:sz w:val="23"/>
          <w:szCs w:val="23"/>
        </w:rPr>
        <w:t xml:space="preserve">.</w:t>
      </w:r>
    </w:p>
    <w:p>
      <w:pPr>
        <w:spacing w:after="130" w:before="200" w:line="282" w:lineRule="auto"/>
      </w:pPr>
      <w:r>
        <w:rPr>
          <w:rFonts w:ascii="Book Antiqua" w:cs="Book Antiqua" w:eastAsia="Book Antiqua" w:hAnsi="Book Antiqua"/>
          <w:b/>
          <w:bCs/>
          <w:sz w:val="23"/>
          <w:szCs w:val="23"/>
        </w:rPr>
        <w:t xml:space="preserve">IV. Grounds</w:t>
      </w:r>
    </w:p>
    <w:p>
      <w:pPr>
        <w:pBdr>
          <w:left w:val="single" w:color="1F4E79" w:sz="12" w:space="8"/>
        </w:pBdr>
        <w:spacing w:after="150" w:line="270" w:lineRule="auto"/>
        <w:ind w:left="360"/>
        <w:jc w:val="left"/>
      </w:pPr>
      <w:r>
        <w:rPr>
          <w:rFonts w:ascii="Book Antiqua" w:cs="Book Antiqua" w:eastAsia="Book Antiqua" w:hAnsi="Book Antiqua"/>
          <w:b/>
          <w:bCs/>
          <w:color w:val="1F4E79"/>
          <w:sz w:val="19"/>
          <w:szCs w:val="19"/>
        </w:rPr>
        <w:t xml:space="preserve">HOW TO USE: </w:t>
      </w:r>
      <w:r>
        <w:rPr>
          <w:rFonts w:ascii="Book Antiqua" w:cs="Book Antiqua" w:eastAsia="Book Antiqua" w:hAnsi="Book Antiqua"/>
          <w:color w:val="1F4E79"/>
          <w:sz w:val="19"/>
          <w:szCs w:val="19"/>
        </w:rPr>
        <w:t xml:space="preserve">Delete every ground that does not apply. Quote their letter in each one you keep. The ShortChanged auditor at [tool URL] identifies which of these apply to your estimate and cites each rule.</w:t>
      </w:r>
    </w:p>
    <w:p>
      <w:pPr>
        <w:spacing w:after="170" w:line="282" w:lineRule="auto"/>
        <w:jc w:val="both"/>
      </w:pPr>
      <w:r>
        <w:rPr>
          <w:rFonts w:ascii="Book Antiqua" w:cs="Book Antiqua" w:eastAsia="Book Antiqua" w:hAnsi="Book Antiqua"/>
          <w:b/>
          <w:bCs/>
          <w:sz w:val="23"/>
          <w:szCs w:val="23"/>
        </w:rPr>
        <w:t xml:space="preserve">Ground 1. Work that was never requested.</w:t>
      </w:r>
    </w:p>
    <w:p>
      <w:pPr>
        <w:spacing w:after="170" w:line="282" w:lineRule="auto"/>
        <w:jc w:val="both"/>
      </w:pPr>
      <w:r>
        <w:rPr>
          <w:rFonts w:ascii="Book Antiqua" w:cs="Book Antiqua" w:eastAsia="Book Antiqua" w:hAnsi="Book Antiqua"/>
          <w:sz w:val="23"/>
          <w:szCs w:val="23"/>
        </w:rPr>
        <w:t xml:space="preserve">The stated basis for the charge includes </w:t>
      </w:r>
      <w:r>
        <w:rPr>
          <w:rFonts w:ascii="Book Antiqua" w:cs="Book Antiqua" w:eastAsia="Book Antiqua" w:hAnsi="Book Antiqua"/>
          <w:b/>
          <w:bCs/>
          <w:color w:val="1F4E79"/>
          <w:sz w:val="23"/>
          <w:szCs w:val="23"/>
        </w:rPr>
        <w:t xml:space="preserve">[quote]</w:t>
      </w:r>
      <w:r>
        <w:rPr>
          <w:rFonts w:ascii="Book Antiqua" w:cs="Book Antiqua" w:eastAsia="Book Antiqua" w:hAnsi="Book Antiqua"/>
          <w:sz w:val="23"/>
          <w:szCs w:val="23"/>
        </w:rPr>
        <w:t xml:space="preserve">. My request does not seek </w:t>
      </w:r>
      <w:r>
        <w:rPr>
          <w:rFonts w:ascii="Book Antiqua" w:cs="Book Antiqua" w:eastAsia="Book Antiqua" w:hAnsi="Book Antiqua"/>
          <w:b/>
          <w:bCs/>
          <w:color w:val="1F4E79"/>
          <w:sz w:val="23"/>
          <w:szCs w:val="23"/>
        </w:rPr>
        <w:t xml:space="preserve">[what they described]</w:t>
      </w:r>
      <w:r>
        <w:rPr>
          <w:rFonts w:ascii="Book Antiqua" w:cs="Book Antiqua" w:eastAsia="Book Antiqua" w:hAnsi="Book Antiqua"/>
          <w:sz w:val="23"/>
          <w:szCs w:val="23"/>
        </w:rPr>
        <w:t xml:space="preserve">. The itemized statement required by Section 552.2615 exists so a requestor can accept, modify, or dispute charges on an informed basis. An estimate computed for work the request does not call for defeats that purpose and cannot support a deposit demand or a withdrawal consequence. I ask that the governmental body be required to identify, by item number, what that phrase refers to.</w:t>
      </w:r>
    </w:p>
    <w:p>
      <w:pPr>
        <w:spacing w:after="170" w:line="282" w:lineRule="auto"/>
        <w:jc w:val="both"/>
      </w:pPr>
      <w:r>
        <w:rPr>
          <w:rFonts w:ascii="Book Antiqua" w:cs="Book Antiqua" w:eastAsia="Book Antiqua" w:hAnsi="Book Antiqua"/>
          <w:b/>
          <w:bCs/>
          <w:sz w:val="23"/>
          <w:szCs w:val="23"/>
        </w:rPr>
        <w:t xml:space="preserve">Ground 2. The statement is not itemized or allocated.</w:t>
      </w:r>
    </w:p>
    <w:p>
      <w:pPr>
        <w:spacing w:after="170" w:line="282" w:lineRule="auto"/>
        <w:jc w:val="both"/>
      </w:pPr>
      <w:r>
        <w:rPr>
          <w:rFonts w:ascii="Book Antiqua" w:cs="Book Antiqua" w:eastAsia="Book Antiqua" w:hAnsi="Book Antiqua"/>
          <w:sz w:val="23"/>
          <w:szCs w:val="23"/>
        </w:rPr>
        <w:t xml:space="preserve">The estimate states </w:t>
      </w:r>
      <w:r>
        <w:rPr>
          <w:rFonts w:ascii="Book Antiqua" w:cs="Book Antiqua" w:eastAsia="Book Antiqua" w:hAnsi="Book Antiqua"/>
          <w:b/>
          <w:bCs/>
          <w:color w:val="1F4E79"/>
          <w:sz w:val="23"/>
          <w:szCs w:val="23"/>
        </w:rPr>
        <w:t xml:space="preserve">[hours or amount]</w:t>
      </w:r>
      <w:r>
        <w:rPr>
          <w:rFonts w:ascii="Book Antiqua" w:cs="Book Antiqua" w:eastAsia="Book Antiqua" w:hAnsi="Book Antiqua"/>
          <w:sz w:val="23"/>
          <w:szCs w:val="23"/>
        </w:rPr>
        <w:t xml:space="preserve"> without allocating time by request, by item, or by task. Section 552.2615(a) requires a written itemized statement detailing all estimated charges, and 1 TAC Section 70.3(d)(1) permits a labor charge only for the actual time to locate, compile, manipulate data, and reproduce the requested information. A requestor cannot exercise the right to modify under Section 552.2615(b)(2) without knowing which items drive the charge.</w:t>
      </w:r>
    </w:p>
    <w:p>
      <w:pPr>
        <w:spacing w:after="170" w:line="282" w:lineRule="auto"/>
        <w:jc w:val="both"/>
      </w:pPr>
      <w:r>
        <w:rPr>
          <w:rFonts w:ascii="Book Antiqua" w:cs="Book Antiqua" w:eastAsia="Book Antiqua" w:hAnsi="Book Antiqua"/>
          <w:b/>
          <w:bCs/>
          <w:sz w:val="23"/>
          <w:szCs w:val="23"/>
        </w:rPr>
        <w:t xml:space="preserve">Ground 3. Non-chargeable review time is included.</w:t>
      </w:r>
    </w:p>
    <w:p>
      <w:pPr>
        <w:spacing w:after="170" w:line="282" w:lineRule="auto"/>
        <w:jc w:val="both"/>
      </w:pPr>
      <w:r>
        <w:rPr>
          <w:rFonts w:ascii="Book Antiqua" w:cs="Book Antiqua" w:eastAsia="Book Antiqua" w:hAnsi="Book Antiqua"/>
          <w:sz w:val="23"/>
          <w:szCs w:val="23"/>
        </w:rPr>
        <w:t xml:space="preserve">The estimate includes time to review records for responsiveness or to determine what is confidential. 1 TAC Section 70.3(d)(3) provides that a labor charge shall not be recovered for any time spent by an attorney, legal assistant, or any other person who reviews the requested information to determine whether the body will raise exceptions to disclosure, or to research or prepare a ruling request under Section 552.301. The only redaction labor the rules allow is obscuring confidential information commingled with public information on a page being released, and not at all on requests of 50 or fewer pages. 1 TAC Section 70.3(d)(4).</w:t>
      </w:r>
    </w:p>
    <w:p>
      <w:pPr>
        <w:spacing w:after="170" w:line="282" w:lineRule="auto"/>
        <w:jc w:val="both"/>
      </w:pPr>
      <w:r>
        <w:rPr>
          <w:rFonts w:ascii="Book Antiqua" w:cs="Book Antiqua" w:eastAsia="Book Antiqua" w:hAnsi="Book Antiqua"/>
          <w:b/>
          <w:bCs/>
          <w:sz w:val="23"/>
          <w:szCs w:val="23"/>
        </w:rPr>
        <w:t xml:space="preserve">Ground 4. The charges exceed the Attorney General's rates.</w:t>
      </w:r>
    </w:p>
    <w:p>
      <w:pPr>
        <w:spacing w:after="170" w:line="282" w:lineRule="auto"/>
        <w:jc w:val="both"/>
      </w:pPr>
      <w:r>
        <w:rPr>
          <w:rFonts w:ascii="Book Antiqua" w:cs="Book Antiqua" w:eastAsia="Book Antiqua" w:hAnsi="Book Antiqua"/>
          <w:sz w:val="23"/>
          <w:szCs w:val="23"/>
        </w:rPr>
        <w:t xml:space="preserve">Applying 1 TAC chapter 70 to this request, the lawful maximum is </w:t>
      </w:r>
      <w:r>
        <w:rPr>
          <w:rFonts w:ascii="Book Antiqua" w:cs="Book Antiqua" w:eastAsia="Book Antiqua" w:hAnsi="Book Antiqua"/>
          <w:b/>
          <w:bCs/>
          <w:color w:val="1F4E79"/>
          <w:sz w:val="23"/>
          <w:szCs w:val="23"/>
        </w:rPr>
        <w:t xml:space="preserve">[$ amount]</w:t>
      </w:r>
      <w:r>
        <w:rPr>
          <w:rFonts w:ascii="Book Antiqua" w:cs="Book Antiqua" w:eastAsia="Book Antiqua" w:hAnsi="Book Antiqua"/>
          <w:sz w:val="23"/>
          <w:szCs w:val="23"/>
        </w:rPr>
        <w:t xml:space="preserve"> against </w:t>
      </w:r>
      <w:r>
        <w:rPr>
          <w:rFonts w:ascii="Book Antiqua" w:cs="Book Antiqua" w:eastAsia="Book Antiqua" w:hAnsi="Book Antiqua"/>
          <w:b/>
          <w:bCs/>
          <w:color w:val="1F4E79"/>
          <w:sz w:val="23"/>
          <w:szCs w:val="23"/>
        </w:rPr>
        <w:t xml:space="preserve">[$ amount]</w:t>
      </w:r>
      <w:r>
        <w:rPr>
          <w:rFonts w:ascii="Book Antiqua" w:cs="Book Antiqua" w:eastAsia="Book Antiqua" w:hAnsi="Book Antiqua"/>
          <w:sz w:val="23"/>
          <w:szCs w:val="23"/>
        </w:rPr>
        <w:t xml:space="preserve"> demanded: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60"/>
        <w:gridCol w:w="2700"/>
      </w:tblGrid>
      <w:tr>
        <w:tc>
          <w:tcPr>
            <w:tcW w:type="dxa" w:w="6660"/>
            <w:tcBorders>
              <w:top w:val="single" w:color="44506B" w:sz="4"/>
              <w:left w:val="single" w:color="44506B" w:sz="4"/>
              <w:bottom w:val="single" w:color="44506B" w:sz="4"/>
              <w:right w:val="single" w:color="44506B" w:sz="4"/>
            </w:tcBorders>
            <w:tcMar>
              <w:top w:type="dxa" w:w="80"/>
              <w:left w:type="dxa" w:w="120"/>
              <w:bottom w:type="dxa" w:w="80"/>
              <w:right w:type="dxa" w:w="120"/>
            </w:tcMar>
          </w:tcPr>
          <w:p>
            <w:pPr>
              <w:spacing w:after="0" w:line="258" w:lineRule="auto"/>
              <w:jc w:val="left"/>
            </w:pPr>
            <w:r>
              <w:rPr>
                <w:rFonts w:ascii="Book Antiqua" w:cs="Book Antiqua" w:eastAsia="Book Antiqua" w:hAnsi="Book Antiqua"/>
                <w:b/>
                <w:bCs/>
                <w:sz w:val="20"/>
                <w:szCs w:val="20"/>
              </w:rPr>
              <w:t xml:space="preserve">Line item and authority</w:t>
            </w:r>
          </w:p>
        </w:tc>
        <w:tc>
          <w:tcPr>
            <w:tcW w:type="dxa" w:w="2700"/>
            <w:tcBorders>
              <w:top w:val="single" w:color="44506B" w:sz="4"/>
              <w:left w:val="single" w:color="44506B" w:sz="4"/>
              <w:bottom w:val="single" w:color="44506B" w:sz="4"/>
              <w:right w:val="single" w:color="44506B" w:sz="4"/>
            </w:tcBorders>
            <w:tcMar>
              <w:top w:type="dxa" w:w="80"/>
              <w:left w:type="dxa" w:w="120"/>
              <w:bottom w:type="dxa" w:w="80"/>
              <w:right w:type="dxa" w:w="120"/>
            </w:tcMar>
          </w:tcPr>
          <w:p>
            <w:pPr>
              <w:spacing w:after="0" w:line="258" w:lineRule="auto"/>
              <w:jc w:val="right"/>
            </w:pPr>
            <w:r>
              <w:rPr>
                <w:rFonts w:ascii="Book Antiqua" w:cs="Book Antiqua" w:eastAsia="Book Antiqua" w:hAnsi="Book Antiqua"/>
                <w:b/>
                <w:bCs/>
                <w:sz w:val="20"/>
                <w:szCs w:val="20"/>
              </w:rPr>
              <w:t xml:space="preserve">Amount</w:t>
            </w:r>
          </w:p>
        </w:tc>
      </w:tr>
      <w:tr>
        <w:tc>
          <w:tcPr>
            <w:tcW w:type="dxa" w:w="6660"/>
            <w:tcBorders>
              <w:top w:val="single" w:color="44506B" w:sz="4"/>
              <w:left w:val="single" w:color="44506B" w:sz="4"/>
              <w:bottom w:val="single" w:color="44506B" w:sz="4"/>
              <w:right w:val="single" w:color="44506B" w:sz="4"/>
            </w:tcBorders>
            <w:tcMar>
              <w:top w:type="dxa" w:w="80"/>
              <w:left w:type="dxa" w:w="120"/>
              <w:bottom w:type="dxa" w:w="80"/>
              <w:right w:type="dxa" w:w="120"/>
            </w:tcMar>
          </w:tcPr>
          <w:p>
            <w:pPr>
              <w:spacing w:after="0" w:line="258" w:lineRule="auto"/>
              <w:jc w:val="left"/>
            </w:pPr>
            <w:r>
              <w:rPr>
                <w:rFonts w:ascii="Book Antiqua" w:cs="Book Antiqua" w:eastAsia="Book Antiqua" w:hAnsi="Book Antiqua"/>
                <w:b/>
                <w:bCs/>
                <w:color w:val="1F4E79"/>
                <w:sz w:val="20"/>
                <w:szCs w:val="20"/>
              </w:rPr>
              <w:t xml:space="preserve">[Copies: pages x $0.10 (1 TAC 70.3(b)(1))]</w:t>
            </w:r>
          </w:p>
        </w:tc>
        <w:tc>
          <w:tcPr>
            <w:tcW w:type="dxa" w:w="2700"/>
            <w:tcBorders>
              <w:top w:val="single" w:color="44506B" w:sz="4"/>
              <w:left w:val="single" w:color="44506B" w:sz="4"/>
              <w:bottom w:val="single" w:color="44506B" w:sz="4"/>
              <w:right w:val="single" w:color="44506B" w:sz="4"/>
            </w:tcBorders>
            <w:tcMar>
              <w:top w:type="dxa" w:w="80"/>
              <w:left w:type="dxa" w:w="120"/>
              <w:bottom w:type="dxa" w:w="80"/>
              <w:right w:type="dxa" w:w="120"/>
            </w:tcMar>
          </w:tcPr>
          <w:p>
            <w:pPr>
              <w:spacing w:after="0" w:line="258" w:lineRule="auto"/>
              <w:jc w:val="right"/>
            </w:pPr>
            <w:r>
              <w:rPr>
                <w:rFonts w:ascii="Book Antiqua" w:cs="Book Antiqua" w:eastAsia="Book Antiqua" w:hAnsi="Book Antiqua"/>
                <w:b/>
                <w:bCs/>
                <w:color w:val="1F4E79"/>
                <w:sz w:val="20"/>
                <w:szCs w:val="20"/>
              </w:rPr>
              <w:t xml:space="preserve">[$]</w:t>
            </w:r>
          </w:p>
        </w:tc>
      </w:tr>
      <w:tr>
        <w:tc>
          <w:tcPr>
            <w:tcW w:type="dxa" w:w="6660"/>
            <w:tcBorders>
              <w:top w:val="single" w:color="44506B" w:sz="4"/>
              <w:left w:val="single" w:color="44506B" w:sz="4"/>
              <w:bottom w:val="single" w:color="44506B" w:sz="4"/>
              <w:right w:val="single" w:color="44506B" w:sz="4"/>
            </w:tcBorders>
            <w:tcMar>
              <w:top w:type="dxa" w:w="80"/>
              <w:left w:type="dxa" w:w="120"/>
              <w:bottom w:type="dxa" w:w="80"/>
              <w:right w:type="dxa" w:w="120"/>
            </w:tcMar>
          </w:tcPr>
          <w:p>
            <w:pPr>
              <w:spacing w:after="0" w:line="258" w:lineRule="auto"/>
              <w:jc w:val="left"/>
            </w:pPr>
            <w:r>
              <w:rPr>
                <w:rFonts w:ascii="Book Antiqua" w:cs="Book Antiqua" w:eastAsia="Book Antiqua" w:hAnsi="Book Antiqua"/>
                <w:b/>
                <w:bCs/>
                <w:color w:val="1F4E79"/>
                <w:sz w:val="20"/>
                <w:szCs w:val="20"/>
              </w:rPr>
              <w:t xml:space="preserve">[Labor: hours x $15.00 (1 TAC 70.3(d)(1))]</w:t>
            </w:r>
          </w:p>
        </w:tc>
        <w:tc>
          <w:tcPr>
            <w:tcW w:type="dxa" w:w="2700"/>
            <w:tcBorders>
              <w:top w:val="single" w:color="44506B" w:sz="4"/>
              <w:left w:val="single" w:color="44506B" w:sz="4"/>
              <w:bottom w:val="single" w:color="44506B" w:sz="4"/>
              <w:right w:val="single" w:color="44506B" w:sz="4"/>
            </w:tcBorders>
            <w:tcMar>
              <w:top w:type="dxa" w:w="80"/>
              <w:left w:type="dxa" w:w="120"/>
              <w:bottom w:type="dxa" w:w="80"/>
              <w:right w:type="dxa" w:w="120"/>
            </w:tcMar>
          </w:tcPr>
          <w:p>
            <w:pPr>
              <w:spacing w:after="0" w:line="258" w:lineRule="auto"/>
              <w:jc w:val="right"/>
            </w:pPr>
            <w:r>
              <w:rPr>
                <w:rFonts w:ascii="Book Antiqua" w:cs="Book Antiqua" w:eastAsia="Book Antiqua" w:hAnsi="Book Antiqua"/>
                <w:b/>
                <w:bCs/>
                <w:color w:val="1F4E79"/>
                <w:sz w:val="20"/>
                <w:szCs w:val="20"/>
              </w:rPr>
              <w:t xml:space="preserve">[$]</w:t>
            </w:r>
          </w:p>
        </w:tc>
      </w:tr>
      <w:tr>
        <w:tc>
          <w:tcPr>
            <w:tcW w:type="dxa" w:w="6660"/>
            <w:tcBorders>
              <w:top w:val="single" w:color="44506B" w:sz="4"/>
              <w:left w:val="single" w:color="44506B" w:sz="4"/>
              <w:bottom w:val="single" w:color="44506B" w:sz="4"/>
              <w:right w:val="single" w:color="44506B" w:sz="4"/>
            </w:tcBorders>
            <w:tcMar>
              <w:top w:type="dxa" w:w="80"/>
              <w:left w:type="dxa" w:w="120"/>
              <w:bottom w:type="dxa" w:w="80"/>
              <w:right w:type="dxa" w:w="120"/>
            </w:tcMar>
          </w:tcPr>
          <w:p>
            <w:pPr>
              <w:spacing w:after="0" w:line="258" w:lineRule="auto"/>
              <w:jc w:val="left"/>
            </w:pPr>
            <w:r>
              <w:rPr>
                <w:rFonts w:ascii="Book Antiqua" w:cs="Book Antiqua" w:eastAsia="Book Antiqua" w:hAnsi="Book Antiqua"/>
                <w:b/>
                <w:bCs/>
                <w:color w:val="1F4E79"/>
                <w:sz w:val="20"/>
                <w:szCs w:val="20"/>
              </w:rPr>
              <w:t xml:space="preserve">[Overhead: 20% of lawful labor (1 TAC 70.3(e)(3))]</w:t>
            </w:r>
          </w:p>
        </w:tc>
        <w:tc>
          <w:tcPr>
            <w:tcW w:type="dxa" w:w="2700"/>
            <w:tcBorders>
              <w:top w:val="single" w:color="44506B" w:sz="4"/>
              <w:left w:val="single" w:color="44506B" w:sz="4"/>
              <w:bottom w:val="single" w:color="44506B" w:sz="4"/>
              <w:right w:val="single" w:color="44506B" w:sz="4"/>
            </w:tcBorders>
            <w:tcMar>
              <w:top w:type="dxa" w:w="80"/>
              <w:left w:type="dxa" w:w="120"/>
              <w:bottom w:type="dxa" w:w="80"/>
              <w:right w:type="dxa" w:w="120"/>
            </w:tcMar>
          </w:tcPr>
          <w:p>
            <w:pPr>
              <w:spacing w:after="0" w:line="258" w:lineRule="auto"/>
              <w:jc w:val="right"/>
            </w:pPr>
            <w:r>
              <w:rPr>
                <w:rFonts w:ascii="Book Antiqua" w:cs="Book Antiqua" w:eastAsia="Book Antiqua" w:hAnsi="Book Antiqua"/>
                <w:b/>
                <w:bCs/>
                <w:color w:val="1F4E79"/>
                <w:sz w:val="20"/>
                <w:szCs w:val="20"/>
              </w:rPr>
              <w:t xml:space="preserve">[$]</w:t>
            </w:r>
          </w:p>
        </w:tc>
      </w:tr>
      <w:tr>
        <w:tc>
          <w:tcPr>
            <w:tcW w:type="dxa" w:w="6660"/>
            <w:tcBorders>
              <w:top w:val="single" w:color="44506B" w:sz="4"/>
              <w:left w:val="single" w:color="44506B" w:sz="4"/>
              <w:bottom w:val="single" w:color="44506B" w:sz="4"/>
              <w:right w:val="single" w:color="44506B" w:sz="4"/>
            </w:tcBorders>
            <w:tcMar>
              <w:top w:type="dxa" w:w="80"/>
              <w:left w:type="dxa" w:w="120"/>
              <w:bottom w:type="dxa" w:w="80"/>
              <w:right w:type="dxa" w:w="120"/>
            </w:tcMar>
          </w:tcPr>
          <w:p>
            <w:pPr>
              <w:spacing w:after="0" w:line="258" w:lineRule="auto"/>
              <w:jc w:val="left"/>
            </w:pPr>
            <w:r>
              <w:rPr>
                <w:rFonts w:ascii="Book Antiqua" w:cs="Book Antiqua" w:eastAsia="Book Antiqua" w:hAnsi="Book Antiqua"/>
                <w:b/>
                <w:bCs/>
                <w:color w:val="1F4E79"/>
                <w:sz w:val="20"/>
                <w:szCs w:val="20"/>
              </w:rPr>
              <w:t xml:space="preserve">[Media or postage, if any (1 TAC 70.3(b)(2), (j))]</w:t>
            </w:r>
          </w:p>
        </w:tc>
        <w:tc>
          <w:tcPr>
            <w:tcW w:type="dxa" w:w="2700"/>
            <w:tcBorders>
              <w:top w:val="single" w:color="44506B" w:sz="4"/>
              <w:left w:val="single" w:color="44506B" w:sz="4"/>
              <w:bottom w:val="single" w:color="44506B" w:sz="4"/>
              <w:right w:val="single" w:color="44506B" w:sz="4"/>
            </w:tcBorders>
            <w:tcMar>
              <w:top w:type="dxa" w:w="80"/>
              <w:left w:type="dxa" w:w="120"/>
              <w:bottom w:type="dxa" w:w="80"/>
              <w:right w:type="dxa" w:w="120"/>
            </w:tcMar>
          </w:tcPr>
          <w:p>
            <w:pPr>
              <w:spacing w:after="0" w:line="258" w:lineRule="auto"/>
              <w:jc w:val="right"/>
            </w:pPr>
            <w:r>
              <w:rPr>
                <w:rFonts w:ascii="Book Antiqua" w:cs="Book Antiqua" w:eastAsia="Book Antiqua" w:hAnsi="Book Antiqua"/>
                <w:b/>
                <w:bCs/>
                <w:color w:val="1F4E79"/>
                <w:sz w:val="20"/>
                <w:szCs w:val="20"/>
              </w:rPr>
              <w:t xml:space="preserve">[$]</w:t>
            </w:r>
          </w:p>
        </w:tc>
      </w:tr>
      <w:tr>
        <w:tc>
          <w:tcPr>
            <w:tcW w:type="dxa" w:w="6660"/>
            <w:tcBorders>
              <w:top w:val="single" w:color="44506B" w:sz="4"/>
              <w:left w:val="single" w:color="44506B" w:sz="4"/>
              <w:bottom w:val="single" w:color="44506B" w:sz="4"/>
              <w:right w:val="single" w:color="44506B" w:sz="4"/>
            </w:tcBorders>
            <w:tcMar>
              <w:top w:type="dxa" w:w="80"/>
              <w:left w:type="dxa" w:w="120"/>
              <w:bottom w:type="dxa" w:w="80"/>
              <w:right w:type="dxa" w:w="120"/>
            </w:tcMar>
          </w:tcPr>
          <w:p>
            <w:pPr>
              <w:spacing w:after="0" w:line="258" w:lineRule="auto"/>
              <w:jc w:val="left"/>
            </w:pPr>
            <w:r>
              <w:rPr>
                <w:rFonts w:ascii="Book Antiqua" w:cs="Book Antiqua" w:eastAsia="Book Antiqua" w:hAnsi="Book Antiqua"/>
                <w:b/>
                <w:bCs/>
                <w:sz w:val="20"/>
                <w:szCs w:val="20"/>
              </w:rPr>
              <w:t xml:space="preserve">Lawful maximum</w:t>
            </w:r>
          </w:p>
        </w:tc>
        <w:tc>
          <w:tcPr>
            <w:tcW w:type="dxa" w:w="2700"/>
            <w:tcBorders>
              <w:top w:val="single" w:color="44506B" w:sz="4"/>
              <w:left w:val="single" w:color="44506B" w:sz="4"/>
              <w:bottom w:val="single" w:color="44506B" w:sz="4"/>
              <w:right w:val="single" w:color="44506B" w:sz="4"/>
            </w:tcBorders>
            <w:tcMar>
              <w:top w:type="dxa" w:w="80"/>
              <w:left w:type="dxa" w:w="120"/>
              <w:bottom w:type="dxa" w:w="80"/>
              <w:right w:type="dxa" w:w="120"/>
            </w:tcMar>
          </w:tcPr>
          <w:p>
            <w:pPr>
              <w:spacing w:after="0" w:line="258" w:lineRule="auto"/>
              <w:jc w:val="right"/>
            </w:pPr>
            <w:r>
              <w:rPr>
                <w:rFonts w:ascii="Book Antiqua" w:cs="Book Antiqua" w:eastAsia="Book Antiqua" w:hAnsi="Book Antiqua"/>
                <w:b/>
                <w:bCs/>
                <w:color w:val="1F4E79"/>
                <w:sz w:val="20"/>
                <w:szCs w:val="20"/>
              </w:rPr>
              <w:t xml:space="preserve">[$]</w:t>
            </w:r>
          </w:p>
        </w:tc>
      </w:tr>
    </w:tbl>
    <w:p>
      <w:pPr>
        <w:spacing w:after="160"/>
      </w:pPr>
    </w:p>
    <w:p>
      <w:pPr>
        <w:spacing w:after="170" w:line="282" w:lineRule="auto"/>
        <w:jc w:val="both"/>
      </w:pPr>
      <w:r>
        <w:rPr>
          <w:rFonts w:ascii="Book Antiqua" w:cs="Book Antiqua" w:eastAsia="Book Antiqua" w:hAnsi="Book Antiqua"/>
          <w:b/>
          <w:bCs/>
          <w:sz w:val="23"/>
          <w:szCs w:val="23"/>
        </w:rPr>
        <w:t xml:space="preserve">Ground 5. Arithmetic and internal inconsistency.</w:t>
      </w:r>
    </w:p>
    <w:p>
      <w:pPr>
        <w:spacing w:after="170" w:line="282" w:lineRule="auto"/>
        <w:jc w:val="both"/>
      </w:pPr>
      <w:r>
        <w:rPr>
          <w:rFonts w:ascii="Book Antiqua" w:cs="Book Antiqua" w:eastAsia="Book Antiqua" w:hAnsi="Book Antiqua"/>
          <w:sz w:val="23"/>
          <w:szCs w:val="23"/>
        </w:rPr>
        <w:t xml:space="preserve">The </w:t>
      </w:r>
      <w:r>
        <w:rPr>
          <w:rFonts w:ascii="Book Antiqua" w:cs="Book Antiqua" w:eastAsia="Book Antiqua" w:hAnsi="Book Antiqua"/>
          <w:b/>
          <w:bCs/>
          <w:color w:val="1F4E79"/>
          <w:sz w:val="23"/>
          <w:szCs w:val="23"/>
        </w:rPr>
        <w:t xml:space="preserve">[which]</w:t>
      </w:r>
      <w:r>
        <w:rPr>
          <w:rFonts w:ascii="Book Antiqua" w:cs="Book Antiqua" w:eastAsia="Book Antiqua" w:hAnsi="Book Antiqua"/>
          <w:sz w:val="23"/>
          <w:szCs w:val="23"/>
        </w:rPr>
        <w:t xml:space="preserve"> line reads </w:t>
      </w:r>
      <w:r>
        <w:rPr>
          <w:rFonts w:ascii="Book Antiqua" w:cs="Book Antiqua" w:eastAsia="Book Antiqua" w:hAnsi="Book Antiqua"/>
          <w:b/>
          <w:bCs/>
          <w:color w:val="1F4E79"/>
          <w:sz w:val="23"/>
          <w:szCs w:val="23"/>
        </w:rPr>
        <w:t xml:space="preserve">[quote it]</w:t>
      </w:r>
      <w:r>
        <w:rPr>
          <w:rFonts w:ascii="Book Antiqua" w:cs="Book Antiqua" w:eastAsia="Book Antiqua" w:hAnsi="Book Antiqua"/>
          <w:sz w:val="23"/>
          <w:szCs w:val="23"/>
        </w:rPr>
        <w:t xml:space="preserve">, which cannot be reconciled with its own figures: </w:t>
      </w:r>
      <w:r>
        <w:rPr>
          <w:rFonts w:ascii="Book Antiqua" w:cs="Book Antiqua" w:eastAsia="Book Antiqua" w:hAnsi="Book Antiqua"/>
          <w:b/>
          <w:bCs/>
          <w:color w:val="1F4E79"/>
          <w:sz w:val="23"/>
          <w:szCs w:val="23"/>
        </w:rPr>
        <w:t xml:space="preserve">[show the math]</w:t>
      </w:r>
      <w:r>
        <w:rPr>
          <w:rFonts w:ascii="Book Antiqua" w:cs="Book Antiqua" w:eastAsia="Book Antiqua" w:hAnsi="Book Antiqua"/>
          <w:sz w:val="23"/>
          <w:szCs w:val="23"/>
        </w:rPr>
        <w:t xml:space="preserve">. A statement whose statutory function is accurate itemization must be internally consistent, particularly because under Section 552.2615(d) the estimate operates as a ceiling on the charges ultimately imposed.</w:t>
      </w:r>
    </w:p>
    <w:p>
      <w:pPr>
        <w:spacing w:after="170" w:line="282" w:lineRule="auto"/>
        <w:jc w:val="both"/>
      </w:pPr>
      <w:r>
        <w:rPr>
          <w:rFonts w:ascii="Book Antiqua" w:cs="Book Antiqua" w:eastAsia="Book Antiqua" w:hAnsi="Book Antiqua"/>
          <w:b/>
          <w:bCs/>
          <w:sz w:val="23"/>
          <w:szCs w:val="23"/>
        </w:rPr>
        <w:t xml:space="preserve">Ground 6. The letter misstates response rights or deadlines.</w:t>
      </w:r>
    </w:p>
    <w:p>
      <w:pPr>
        <w:spacing w:after="170" w:line="282" w:lineRule="auto"/>
        <w:jc w:val="both"/>
      </w:pPr>
      <w:r>
        <w:rPr>
          <w:rFonts w:ascii="Book Antiqua" w:cs="Book Antiqua" w:eastAsia="Book Antiqua" w:hAnsi="Book Antiqua"/>
          <w:sz w:val="23"/>
          <w:szCs w:val="23"/>
        </w:rPr>
        <w:t xml:space="preserve">The letter conditions the request's survival on </w:t>
      </w:r>
      <w:r>
        <w:rPr>
          <w:rFonts w:ascii="Book Antiqua" w:cs="Book Antiqua" w:eastAsia="Book Antiqua" w:hAnsi="Book Antiqua"/>
          <w:b/>
          <w:bCs/>
          <w:color w:val="1F4E79"/>
          <w:sz w:val="23"/>
          <w:szCs w:val="23"/>
        </w:rPr>
        <w:t xml:space="preserve">[quote]</w:t>
      </w:r>
      <w:r>
        <w:rPr>
          <w:rFonts w:ascii="Book Antiqua" w:cs="Book Antiqua" w:eastAsia="Book Antiqua" w:hAnsi="Book Antiqua"/>
          <w:sz w:val="23"/>
          <w:szCs w:val="23"/>
        </w:rPr>
        <w:t xml:space="preserve">. Under Section 552.2615(b) and (f), a response is effective when delivered in person, deposited in the mail, or transmitted by email or facsimile within 10 business days after the statement is sent. The letter also counts deadlines in </w:t>
      </w:r>
      <w:r>
        <w:rPr>
          <w:rFonts w:ascii="Book Antiqua" w:cs="Book Antiqua" w:eastAsia="Book Antiqua" w:hAnsi="Book Antiqua"/>
          <w:b/>
          <w:bCs/>
          <w:color w:val="1F4E79"/>
          <w:sz w:val="23"/>
          <w:szCs w:val="23"/>
        </w:rPr>
        <w:t xml:space="preserve">[quote their term]</w:t>
      </w:r>
      <w:r>
        <w:rPr>
          <w:rFonts w:ascii="Book Antiqua" w:cs="Book Antiqua" w:eastAsia="Book Antiqua" w:hAnsi="Book Antiqua"/>
          <w:sz w:val="23"/>
          <w:szCs w:val="23"/>
        </w:rPr>
        <w:t xml:space="preserve">; the statutory measure is business days under Section 552.0031. Section 552.2615(a) further obligates the body to inform the requestor of the rights granted by the entire section, including the updated-statement duty in subsection (c) and the ceiling in subsection (d), which this letter does not mention.</w:t>
      </w:r>
    </w:p>
    <w:p>
      <w:pPr>
        <w:spacing w:after="170" w:line="282" w:lineRule="auto"/>
        <w:jc w:val="both"/>
      </w:pPr>
      <w:r>
        <w:rPr>
          <w:rFonts w:ascii="Book Antiqua" w:cs="Book Antiqua" w:eastAsia="Book Antiqua" w:hAnsi="Book Antiqua"/>
          <w:b/>
          <w:bCs/>
          <w:sz w:val="23"/>
          <w:szCs w:val="23"/>
        </w:rPr>
        <w:t xml:space="preserve">Ground 7. Inspection charges beyond what the statute permits.</w:t>
      </w:r>
    </w:p>
    <w:p>
      <w:pPr>
        <w:spacing w:after="170" w:line="282" w:lineRule="auto"/>
        <w:jc w:val="both"/>
      </w:pPr>
      <w:r>
        <w:rPr>
          <w:rFonts w:ascii="Book Antiqua" w:cs="Book Antiqua" w:eastAsia="Book Antiqua" w:hAnsi="Book Antiqua"/>
          <w:sz w:val="23"/>
          <w:szCs w:val="23"/>
        </w:rPr>
        <w:t xml:space="preserve">The letter conditions in-person inspection on payment for redactions. Section 552.271(a) provides that no charge may be imposed for making paper records available for inspection, with one exception: under Section 552.271(b), the body may charge the cost of a photocopy of a page from which confidential information must be edited, and no charge other than that photocopy cost may be imposed.</w:t>
      </w:r>
    </w:p>
    <w:p>
      <w:pPr>
        <w:spacing w:after="170" w:line="282" w:lineRule="auto"/>
        <w:jc w:val="both"/>
      </w:pPr>
      <w:r>
        <w:rPr>
          <w:rFonts w:ascii="Book Antiqua" w:cs="Book Antiqua" w:eastAsia="Book Antiqua" w:hAnsi="Book Antiqua"/>
          <w:b/>
          <w:bCs/>
          <w:sz w:val="23"/>
          <w:szCs w:val="23"/>
        </w:rPr>
        <w:t xml:space="preserve">Ground 8. The deposit demand fails the statutory preconditions.</w:t>
      </w:r>
    </w:p>
    <w:p>
      <w:pPr>
        <w:spacing w:after="170" w:line="282" w:lineRule="auto"/>
        <w:jc w:val="both"/>
      </w:pPr>
      <w:r>
        <w:rPr>
          <w:rFonts w:ascii="Book Antiqua" w:cs="Book Antiqua" w:eastAsia="Book Antiqua" w:hAnsi="Book Antiqua"/>
          <w:sz w:val="23"/>
          <w:szCs w:val="23"/>
        </w:rPr>
        <w:t xml:space="preserve">Section 552.263(a)(1) conditions a deposit on a compliant itemized statement under Section 552.2615. Independently, Section 552.263(d) requires the body to fully document the existence and amount of anticipated costs before requiring a deposit, and makes that documentation subject to public disclosure. No such documentation has been provided or referenced. The deposit, and the withdrawal consequence asserted under Section 552.263(f), cannot rest on this record.</w:t>
      </w:r>
    </w:p>
    <w:p>
      <w:pPr>
        <w:spacing w:after="170" w:line="282" w:lineRule="auto"/>
        <w:jc w:val="both"/>
      </w:pPr>
      <w:r>
        <w:rPr>
          <w:rFonts w:ascii="Book Antiqua" w:cs="Book Antiqua" w:eastAsia="Book Antiqua" w:hAnsi="Book Antiqua"/>
          <w:b/>
          <w:bCs/>
          <w:sz w:val="23"/>
          <w:szCs w:val="23"/>
        </w:rPr>
        <w:t xml:space="preserve">Ground 9. Personnel-time limits and prepayment authority.</w:t>
      </w:r>
    </w:p>
    <w:p>
      <w:pPr>
        <w:spacing w:after="170" w:line="282" w:lineRule="auto"/>
        <w:jc w:val="both"/>
      </w:pPr>
      <w:r>
        <w:rPr>
          <w:rFonts w:ascii="Book Antiqua" w:cs="Book Antiqua" w:eastAsia="Book Antiqua" w:hAnsi="Book Antiqua"/>
          <w:sz w:val="23"/>
          <w:szCs w:val="23"/>
        </w:rPr>
        <w:t xml:space="preserve">To the extent the governmental body relies on a limit adopted under Section 552.275, the limit may not be less than 36 hours per fiscal year or 15 hours per month, and the body must provide written notice of accrued time and an estimate before imposing charges. Section 552.275(b), (d), (e). Under 1 TAC Section 70.12(b), time spent determining the meaning or scope of the request, seeking clarification, comparing records, determining which exceptions apply, preparing correspondence under Sections 552.301, 552.303, or 552.305, reorganizing records, or training staff may not be counted toward the limit. To the extent a school district relies on Section 552.2661, that provision applies only where the requestor accepted and then failed to pay an itemized statement within the preceding 180 days. </w:t>
      </w:r>
      <w:r>
        <w:rPr>
          <w:rFonts w:ascii="Book Antiqua" w:cs="Book Antiqua" w:eastAsia="Book Antiqua" w:hAnsi="Book Antiqua"/>
          <w:b/>
          <w:bCs/>
          <w:color w:val="1F4E79"/>
          <w:sz w:val="23"/>
          <w:szCs w:val="23"/>
        </w:rPr>
        <w:t xml:space="preserve">[State which applies to you and why it does not, or delete this ground.]</w:t>
      </w:r>
    </w:p>
    <w:p>
      <w:pPr>
        <w:spacing w:after="130" w:before="200" w:line="282" w:lineRule="auto"/>
      </w:pPr>
      <w:r>
        <w:rPr>
          <w:rFonts w:ascii="Book Antiqua" w:cs="Book Antiqua" w:eastAsia="Book Antiqua" w:hAnsi="Book Antiqua"/>
          <w:b/>
          <w:bCs/>
          <w:sz w:val="23"/>
          <w:szCs w:val="23"/>
        </w:rPr>
        <w:t xml:space="preserve">V. Determination requested</w:t>
      </w:r>
    </w:p>
    <w:p>
      <w:pPr>
        <w:spacing w:after="170" w:line="282" w:lineRule="auto"/>
        <w:jc w:val="both"/>
      </w:pPr>
      <w:r>
        <w:rPr>
          <w:rFonts w:ascii="Book Antiqua" w:cs="Book Antiqua" w:eastAsia="Book Antiqua" w:hAnsi="Book Antiqua"/>
          <w:sz w:val="23"/>
          <w:szCs w:val="23"/>
        </w:rPr>
        <w:t xml:space="preserve">I respectfully ask the Administrator to:</w:t>
      </w:r>
    </w:p>
    <w:p>
      <w:pPr>
        <w:spacing w:after="140" w:line="282" w:lineRule="auto"/>
        <w:ind w:left="720" w:hanging="360"/>
        <w:jc w:val="both"/>
      </w:pPr>
      <w:r>
        <w:rPr>
          <w:rFonts w:ascii="Book Antiqua" w:cs="Book Antiqua" w:eastAsia="Book Antiqua" w:hAnsi="Book Antiqua"/>
          <w:b/>
          <w:bCs/>
          <w:sz w:val="23"/>
          <w:szCs w:val="23"/>
        </w:rPr>
        <w:t xml:space="preserve">1. </w:t>
      </w:r>
      <w:r>
        <w:rPr>
          <w:rFonts w:ascii="Book Antiqua" w:cs="Book Antiqua" w:eastAsia="Book Antiqua" w:hAnsi="Book Antiqua"/>
          <w:sz w:val="23"/>
          <w:szCs w:val="23"/>
        </w:rPr>
        <w:t xml:space="preserve">Pose written questions to the governmental body under 1 TAC Section 70.8(c) requiring it to allocate its claimed hours by request and by task, state how many hours consist of review excluded by 1 TAC Section 70.3(d)(3), </w:t>
      </w:r>
      <w:r>
        <w:rPr>
          <w:rFonts w:ascii="Book Antiqua" w:cs="Book Antiqua" w:eastAsia="Book Antiqua" w:hAnsi="Book Antiqua"/>
          <w:b/>
          <w:bCs/>
          <w:color w:val="1F4E79"/>
          <w:sz w:val="23"/>
          <w:szCs w:val="23"/>
        </w:rPr>
        <w:t xml:space="preserve">[add any question specific to your dispute]</w:t>
      </w:r>
      <w:r>
        <w:rPr>
          <w:rFonts w:ascii="Book Antiqua" w:cs="Book Antiqua" w:eastAsia="Book Antiqua" w:hAnsi="Book Antiqua"/>
          <w:sz w:val="23"/>
          <w:szCs w:val="23"/>
        </w:rPr>
        <w:t xml:space="preserve">, and produce the documentation Section 552.263(d) required before any deposit was demanded;</w:t>
      </w:r>
    </w:p>
    <w:p>
      <w:pPr>
        <w:spacing w:after="140" w:line="282" w:lineRule="auto"/>
        <w:ind w:left="720" w:hanging="360"/>
        <w:jc w:val="both"/>
      </w:pPr>
      <w:r>
        <w:rPr>
          <w:rFonts w:ascii="Book Antiqua" w:cs="Book Antiqua" w:eastAsia="Book Antiqua" w:hAnsi="Book Antiqua"/>
          <w:b/>
          <w:bCs/>
          <w:sz w:val="23"/>
          <w:szCs w:val="23"/>
        </w:rPr>
        <w:t xml:space="preserve">2. </w:t>
      </w:r>
      <w:r>
        <w:rPr>
          <w:rFonts w:ascii="Book Antiqua" w:cs="Book Antiqua" w:eastAsia="Book Antiqua" w:hAnsi="Book Antiqua"/>
          <w:sz w:val="23"/>
          <w:szCs w:val="23"/>
        </w:rPr>
        <w:t xml:space="preserve">Determine the appropriate charges for the request under 1 TAC chapter 70;</w:t>
      </w:r>
    </w:p>
    <w:p>
      <w:pPr>
        <w:spacing w:after="140" w:line="282" w:lineRule="auto"/>
        <w:ind w:left="720" w:hanging="360"/>
        <w:jc w:val="both"/>
      </w:pPr>
      <w:r>
        <w:rPr>
          <w:rFonts w:ascii="Book Antiqua" w:cs="Book Antiqua" w:eastAsia="Book Antiqua" w:hAnsi="Book Antiqua"/>
          <w:b/>
          <w:bCs/>
          <w:sz w:val="23"/>
          <w:szCs w:val="23"/>
        </w:rPr>
        <w:t xml:space="preserve">3. </w:t>
      </w:r>
      <w:r>
        <w:rPr>
          <w:rFonts w:ascii="Book Antiqua" w:cs="Book Antiqua" w:eastAsia="Book Antiqua" w:hAnsi="Book Antiqua"/>
          <w:sz w:val="23"/>
          <w:szCs w:val="23"/>
        </w:rPr>
        <w:t xml:space="preserve">Determine that the itemized statement does not comply with Section 552.2615 and cannot support the deposit demand or the withdrawal deadlines asserted; and</w:t>
      </w:r>
    </w:p>
    <w:p>
      <w:pPr>
        <w:spacing w:after="140" w:line="282" w:lineRule="auto"/>
        <w:ind w:left="720" w:hanging="360"/>
        <w:jc w:val="both"/>
      </w:pPr>
      <w:r>
        <w:rPr>
          <w:rFonts w:ascii="Book Antiqua" w:cs="Book Antiqua" w:eastAsia="Book Antiqua" w:hAnsi="Book Antiqua"/>
          <w:b/>
          <w:bCs/>
          <w:sz w:val="23"/>
          <w:szCs w:val="23"/>
        </w:rPr>
        <w:t xml:space="preserve">4. </w:t>
      </w:r>
      <w:r>
        <w:rPr>
          <w:rFonts w:ascii="Book Antiqua" w:cs="Book Antiqua" w:eastAsia="Book Antiqua" w:hAnsi="Book Antiqua"/>
          <w:sz w:val="23"/>
          <w:szCs w:val="23"/>
        </w:rPr>
        <w:t xml:space="preserve">Direct the governmental body to issue a corrected, allocated itemized statement consistent with the Administrator's determination.</w:t>
      </w:r>
    </w:p>
    <w:p>
      <w:pPr>
        <w:spacing w:after="170" w:line="282" w:lineRule="auto"/>
        <w:jc w:val="both"/>
      </w:pPr>
      <w:r>
        <w:rPr>
          <w:rFonts w:ascii="Book Antiqua" w:cs="Book Antiqua" w:eastAsia="Book Antiqua" w:hAnsi="Book Antiqua"/>
          <w:sz w:val="23"/>
          <w:szCs w:val="23"/>
        </w:rPr>
        <w:t xml:space="preserve">I have not paid the demanded amount. I remain ready to pay the charges the Administrator determines to be lawful. I can be reached at </w:t>
      </w:r>
      <w:r>
        <w:rPr>
          <w:rFonts w:ascii="Book Antiqua" w:cs="Book Antiqua" w:eastAsia="Book Antiqua" w:hAnsi="Book Antiqua"/>
          <w:b/>
          <w:bCs/>
          <w:color w:val="1F4E79"/>
          <w:sz w:val="23"/>
          <w:szCs w:val="23"/>
        </w:rPr>
        <w:t xml:space="preserve">[email]</w:t>
      </w:r>
      <w:r>
        <w:rPr>
          <w:rFonts w:ascii="Book Antiqua" w:cs="Book Antiqua" w:eastAsia="Book Antiqua" w:hAnsi="Book Antiqua"/>
          <w:sz w:val="23"/>
          <w:szCs w:val="23"/>
        </w:rPr>
        <w:t xml:space="preserve">.</w:t>
      </w:r>
    </w:p>
    <w:p>
      <w:pPr>
        <w:keepNext/>
        <w:keepLines/>
        <w:spacing w:after="170" w:line="282" w:lineRule="auto"/>
        <w:jc w:val="left"/>
      </w:pPr>
      <w:r>
        <w:rPr>
          <w:rFonts w:ascii="Book Antiqua" w:cs="Book Antiqua" w:eastAsia="Book Antiqua" w:hAnsi="Book Antiqua"/>
          <w:sz w:val="23"/>
          <w:szCs w:val="23"/>
        </w:rPr>
        <w:t xml:space="preserve">Respectfully submitted,</w:t>
      </w:r>
      <w:r>
        <w:rPr>
          <w:rFonts w:ascii="Book Antiqua" w:cs="Book Antiqua" w:eastAsia="Book Antiqua" w:hAnsi="Book Antiqua"/>
          <w:sz w:val="23"/>
          <w:szCs w:val="23"/>
        </w:rPr>
        <w:br/>
        <w:br/>
        <w:t xml:space="preserve"/>
      </w:r>
      <w:r>
        <w:rPr>
          <w:rFonts w:ascii="Book Antiqua" w:cs="Book Antiqua" w:eastAsia="Book Antiqua" w:hAnsi="Book Antiqua"/>
          <w:b/>
          <w:bCs/>
          <w:color w:val="1F4E79"/>
          <w:sz w:val="23"/>
          <w:szCs w:val="23"/>
        </w:rPr>
        <w:t xml:space="preserve">[Your Name]</w:t>
      </w:r>
      <w:r>
        <w:rPr>
          <w:rFonts w:ascii="Book Antiqua" w:cs="Book Antiqua" w:eastAsia="Book Antiqua" w:hAnsi="Book Antiqua"/>
          <w:sz w:val="23"/>
          <w:szCs w:val="23"/>
        </w:rPr>
        <w:br/>
        <w:t xml:space="preserve"/>
      </w:r>
      <w:r>
        <w:rPr>
          <w:rFonts w:ascii="Book Antiqua" w:cs="Book Antiqua" w:eastAsia="Book Antiqua" w:hAnsi="Book Antiqua"/>
          <w:sz w:val="23"/>
          <w:szCs w:val="23"/>
        </w:rPr>
        <w:t xml:space="preserve">Requestor</w:t>
      </w:r>
    </w:p>
    <w:p>
      <w:pPr>
        <w:keepNext/>
        <w:keepLines/>
        <w:spacing w:after="170" w:line="282" w:lineRule="auto"/>
        <w:jc w:val="left"/>
      </w:pPr>
      <w:r>
        <w:rPr>
          <w:rFonts w:ascii="Book Antiqua" w:cs="Book Antiqua" w:eastAsia="Book Antiqua" w:hAnsi="Book Antiqua"/>
          <w:b/>
          <w:bCs/>
          <w:sz w:val="23"/>
          <w:szCs w:val="23"/>
        </w:rPr>
        <w:t xml:space="preserve">Enclosures:</w:t>
      </w:r>
      <w:r>
        <w:rPr>
          <w:rFonts w:ascii="Book Antiqua" w:cs="Book Antiqua" w:eastAsia="Book Antiqua" w:hAnsi="Book Antiqua"/>
          <w:sz w:val="23"/>
          <w:szCs w:val="23"/>
        </w:rPr>
        <w:br/>
        <w:t xml:space="preserve"/>
      </w:r>
      <w:r>
        <w:rPr>
          <w:rFonts w:ascii="Book Antiqua" w:cs="Book Antiqua" w:eastAsia="Book Antiqua" w:hAnsi="Book Antiqua"/>
          <w:sz w:val="23"/>
          <w:szCs w:val="23"/>
        </w:rPr>
        <w:t xml:space="preserve">Exhibit A: Public Information Act request dated </w:t>
      </w:r>
      <w:r>
        <w:rPr>
          <w:rFonts w:ascii="Book Antiqua" w:cs="Book Antiqua" w:eastAsia="Book Antiqua" w:hAnsi="Book Antiqua"/>
          <w:b/>
          <w:bCs/>
          <w:color w:val="1F4E79"/>
          <w:sz w:val="23"/>
          <w:szCs w:val="23"/>
        </w:rPr>
        <w:t xml:space="preserve">[date]</w:t>
      </w:r>
      <w:r>
        <w:rPr>
          <w:rFonts w:ascii="Book Antiqua" w:cs="Book Antiqua" w:eastAsia="Book Antiqua" w:hAnsi="Book Antiqua"/>
          <w:sz w:val="23"/>
          <w:szCs w:val="23"/>
        </w:rPr>
        <w:br/>
        <w:t xml:space="preserve"/>
      </w:r>
      <w:r>
        <w:rPr>
          <w:rFonts w:ascii="Book Antiqua" w:cs="Book Antiqua" w:eastAsia="Book Antiqua" w:hAnsi="Book Antiqua"/>
          <w:sz w:val="23"/>
          <w:szCs w:val="23"/>
        </w:rPr>
        <w:t xml:space="preserve">Exhibit B: Cost estimate correspondence dated </w:t>
      </w:r>
      <w:r>
        <w:rPr>
          <w:rFonts w:ascii="Book Antiqua" w:cs="Book Antiqua" w:eastAsia="Book Antiqua" w:hAnsi="Book Antiqua"/>
          <w:b/>
          <w:bCs/>
          <w:color w:val="1F4E79"/>
          <w:sz w:val="23"/>
          <w:szCs w:val="23"/>
        </w:rPr>
        <w:t xml:space="preserve">[date]</w:t>
      </w:r>
    </w:p>
    <w:p>
      <w:pPr>
        <w:keepLines/>
        <w:spacing w:after="170" w:line="282" w:lineRule="auto"/>
        <w:jc w:val="left"/>
      </w:pPr>
      <w:r>
        <w:rPr>
          <w:rFonts w:ascii="Book Antiqua" w:cs="Book Antiqua" w:eastAsia="Book Antiqua" w:hAnsi="Book Antiqua"/>
          <w:b/>
          <w:bCs/>
          <w:sz w:val="23"/>
          <w:szCs w:val="23"/>
        </w:rPr>
        <w:t xml:space="preserve">cc: </w:t>
      </w:r>
      <w:r>
        <w:rPr>
          <w:rFonts w:ascii="Book Antiqua" w:cs="Book Antiqua" w:eastAsia="Book Antiqua" w:hAnsi="Book Antiqua"/>
          <w:b/>
          <w:bCs/>
          <w:color w:val="1F4E79"/>
          <w:sz w:val="23"/>
          <w:szCs w:val="23"/>
        </w:rPr>
        <w:t xml:space="preserve">[records officer and/or attorney for the governmental body]</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cs="Book Antiqua" w:eastAsia="Book Antiqua" w:hAnsi="Book Antiqua"/>
        <w:sz w:val="23"/>
        <w:szCs w:val="23"/>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2026-09-01T00:55:41.399Z</dcterms:created>
  <dcterms:modified xsi:type="dcterms:W3CDTF">2026-09-01T00:55:41.399Z</dcterms:modified>
</cp:coreProperties>
</file>

<file path=docProps/custom.xml><?xml version="1.0" encoding="utf-8"?>
<Properties xmlns="http://schemas.openxmlformats.org/officeDocument/2006/custom-properties" xmlns:vt="http://schemas.openxmlformats.org/officeDocument/2006/docPropsVTypes"/>
</file>